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after="0"/>
        <w:ind w:left="1440" w:hanging="1440"/>
        <w:jc w:val="right"/>
        <w:rPr>
          <w:rFonts w:ascii="Times New Roman" w:hAnsi="Times New Roman" w:cs="Times New Roman"/>
          <w:b/>
          <w:sz w:val="20"/>
          <w:szCs w:val="20"/>
        </w:rPr>
      </w:pPr>
      <w:proofErr w:type="gramStart"/>
      <w:r>
        <w:rPr>
          <w:rFonts w:ascii="Times New Roman" w:hAnsi="Times New Roman" w:cs="Times New Roman"/>
          <w:b/>
          <w:sz w:val="20"/>
          <w:szCs w:val="20"/>
        </w:rPr>
        <w:t>via</w:t>
      </w:r>
      <w:proofErr w:type="gramEnd"/>
      <w:r>
        <w:rPr>
          <w:rFonts w:ascii="Times New Roman" w:hAnsi="Times New Roman" w:cs="Times New Roman"/>
          <w:b/>
          <w:sz w:val="20"/>
          <w:szCs w:val="20"/>
        </w:rPr>
        <w:t xml:space="preserve"> email and posting</w:t>
      </w:r>
    </w:p>
    <w:p>
      <w:pPr>
        <w:spacing w:before="60" w:after="0"/>
        <w:ind w:left="1440" w:hanging="1440"/>
        <w:rPr>
          <w:rFonts w:ascii="Times New Roman" w:hAnsi="Times New Roman" w:cs="Times New Roman"/>
          <w:sz w:val="20"/>
          <w:szCs w:val="20"/>
        </w:rPr>
      </w:pPr>
      <w:r>
        <w:rPr>
          <w:rFonts w:ascii="Times New Roman" w:hAnsi="Times New Roman" w:cs="Times New Roman"/>
          <w:b/>
          <w:sz w:val="20"/>
          <w:szCs w:val="20"/>
        </w:rPr>
        <w:t>TO:</w:t>
      </w:r>
      <w:r>
        <w:rPr>
          <w:rFonts w:ascii="Times New Roman" w:hAnsi="Times New Roman" w:cs="Times New Roman"/>
          <w:b/>
          <w:sz w:val="20"/>
          <w:szCs w:val="20"/>
        </w:rPr>
        <w:tab/>
      </w:r>
      <w:r>
        <w:rPr>
          <w:rFonts w:ascii="Times New Roman" w:hAnsi="Times New Roman" w:cs="Times New Roman"/>
          <w:sz w:val="20"/>
          <w:szCs w:val="20"/>
        </w:rPr>
        <w:t>NAESB Board Gas-Electric Harmonization Committee Members and posting for interested industry parties</w:t>
      </w:r>
    </w:p>
    <w:p>
      <w:pPr>
        <w:spacing w:before="60" w:after="0"/>
        <w:rPr>
          <w:rFonts w:ascii="Times New Roman" w:hAnsi="Times New Roman" w:cs="Times New Roman"/>
          <w:sz w:val="20"/>
          <w:szCs w:val="20"/>
        </w:rPr>
      </w:pPr>
      <w:r>
        <w:rPr>
          <w:rFonts w:ascii="Times New Roman" w:hAnsi="Times New Roman" w:cs="Times New Roman"/>
          <w:b/>
          <w:sz w:val="20"/>
          <w:szCs w:val="20"/>
        </w:rPr>
        <w:t xml:space="preserve">FROM: </w:t>
      </w:r>
      <w:r>
        <w:rPr>
          <w:rFonts w:ascii="Times New Roman" w:hAnsi="Times New Roman" w:cs="Times New Roman"/>
          <w:b/>
          <w:sz w:val="20"/>
          <w:szCs w:val="20"/>
        </w:rPr>
        <w:tab/>
      </w:r>
      <w:r>
        <w:rPr>
          <w:rFonts w:ascii="Times New Roman" w:hAnsi="Times New Roman" w:cs="Times New Roman"/>
          <w:sz w:val="20"/>
          <w:szCs w:val="20"/>
        </w:rPr>
        <w:t>Jonathan Booe</w:t>
      </w:r>
    </w:p>
    <w:p>
      <w:pPr>
        <w:spacing w:before="60" w:after="0"/>
        <w:rPr>
          <w:rFonts w:ascii="Times New Roman" w:hAnsi="Times New Roman" w:cs="Times New Roman"/>
          <w:sz w:val="20"/>
          <w:szCs w:val="20"/>
        </w:rPr>
      </w:pPr>
      <w:r>
        <w:rPr>
          <w:rFonts w:ascii="Times New Roman" w:hAnsi="Times New Roman" w:cs="Times New Roman"/>
          <w:b/>
          <w:sz w:val="20"/>
          <w:szCs w:val="20"/>
        </w:rPr>
        <w:t>RE: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Survey for GEH Committee Members – Due May 4</w:t>
      </w:r>
      <w:bookmarkStart w:id="0" w:name="_GoBack"/>
      <w:bookmarkEnd w:id="0"/>
      <w:r>
        <w:rPr>
          <w:rFonts w:ascii="Times New Roman" w:hAnsi="Times New Roman" w:cs="Times New Roman"/>
          <w:sz w:val="20"/>
          <w:szCs w:val="20"/>
        </w:rPr>
        <w:t>, 2012</w:t>
      </w:r>
    </w:p>
    <w:p>
      <w:pPr>
        <w:pBdr>
          <w:bottom w:val="single" w:sz="12" w:space="1" w:color="auto"/>
        </w:pBdr>
        <w:spacing w:before="60" w:after="0"/>
        <w:rPr>
          <w:rFonts w:ascii="Times New Roman" w:hAnsi="Times New Roman" w:cs="Times New Roman"/>
          <w:sz w:val="20"/>
          <w:szCs w:val="20"/>
        </w:rPr>
      </w:pPr>
      <w:r>
        <w:rPr>
          <w:rFonts w:ascii="Times New Roman" w:hAnsi="Times New Roman" w:cs="Times New Roman"/>
          <w:b/>
          <w:sz w:val="20"/>
          <w:szCs w:val="20"/>
        </w:rPr>
        <w:t>DATE:</w:t>
      </w:r>
      <w:r>
        <w:rPr>
          <w:rFonts w:ascii="Times New Roman" w:hAnsi="Times New Roman" w:cs="Times New Roman"/>
          <w:sz w:val="20"/>
          <w:szCs w:val="20"/>
        </w:rPr>
        <w:tab/>
      </w:r>
      <w:r>
        <w:rPr>
          <w:rFonts w:ascii="Times New Roman" w:hAnsi="Times New Roman" w:cs="Times New Roman"/>
          <w:sz w:val="20"/>
          <w:szCs w:val="20"/>
        </w:rPr>
        <w:tab/>
        <w:t>April 26, 2012</w:t>
      </w:r>
    </w:p>
    <w:p>
      <w:pPr>
        <w:spacing w:before="120"/>
        <w:outlineLvl w:val="2"/>
        <w:rPr>
          <w:rFonts w:ascii="Times New Roman" w:hAnsi="Times New Roman" w:cs="Times New Roman"/>
          <w:sz w:val="20"/>
          <w:szCs w:val="20"/>
        </w:rPr>
      </w:pPr>
      <w:r>
        <w:rPr>
          <w:rFonts w:ascii="Times New Roman" w:hAnsi="Times New Roman" w:cs="Times New Roman"/>
          <w:sz w:val="20"/>
          <w:szCs w:val="20"/>
        </w:rPr>
        <w:t>Dear Gas-Electric Harmonization Committee Members,</w:t>
      </w:r>
    </w:p>
    <w:p>
      <w:pPr>
        <w:spacing w:before="120" w:after="240"/>
        <w:outlineLvl w:val="2"/>
        <w:rPr>
          <w:rFonts w:ascii="Times New Roman" w:hAnsi="Times New Roman" w:cs="Times New Roman"/>
          <w:sz w:val="20"/>
          <w:szCs w:val="20"/>
        </w:rPr>
      </w:pPr>
      <w:r>
        <w:rPr>
          <w:rFonts w:ascii="Times New Roman" w:hAnsi="Times New Roman" w:cs="Times New Roman"/>
          <w:sz w:val="20"/>
          <w:szCs w:val="20"/>
        </w:rPr>
        <w:t xml:space="preserve">A Gas-Electric Harmonization Committee meeting was held in Baltimore on April 24, during which the </w:t>
      </w:r>
      <w:proofErr w:type="gramStart"/>
      <w:r>
        <w:rPr>
          <w:rFonts w:ascii="Times New Roman" w:hAnsi="Times New Roman" w:cs="Times New Roman"/>
          <w:sz w:val="20"/>
          <w:szCs w:val="20"/>
        </w:rPr>
        <w:t>committee  determined</w:t>
      </w:r>
      <w:proofErr w:type="gramEnd"/>
      <w:r>
        <w:rPr>
          <w:rFonts w:ascii="Times New Roman" w:hAnsi="Times New Roman" w:cs="Times New Roman"/>
          <w:sz w:val="20"/>
          <w:szCs w:val="20"/>
        </w:rPr>
        <w:t xml:space="preserve"> to forward a survey to committee members.  The survey is attached and the instructions for completing the survey follow. </w:t>
      </w:r>
    </w:p>
    <w:p>
      <w:pPr>
        <w:pStyle w:val="Title"/>
        <w:spacing w:before="120" w:after="120"/>
        <w:jc w:val="left"/>
        <w:rPr>
          <w:rFonts w:ascii="Times New Roman" w:hAnsi="Times New Roman"/>
          <w:smallCaps/>
          <w:sz w:val="20"/>
          <w:szCs w:val="20"/>
        </w:rPr>
      </w:pPr>
      <w:r>
        <w:rPr>
          <w:rFonts w:ascii="Times New Roman" w:hAnsi="Times New Roman"/>
          <w:smallCaps/>
          <w:sz w:val="20"/>
          <w:szCs w:val="20"/>
        </w:rPr>
        <w:t>Instructions:</w:t>
      </w:r>
    </w:p>
    <w:p>
      <w:pPr>
        <w:pStyle w:val="Title"/>
        <w:spacing w:before="120" w:after="120"/>
        <w:jc w:val="left"/>
        <w:rPr>
          <w:rFonts w:ascii="Times New Roman" w:hAnsi="Times New Roman"/>
          <w:b w:val="0"/>
          <w:sz w:val="20"/>
        </w:rPr>
      </w:pPr>
      <w:r>
        <w:rPr>
          <w:rFonts w:ascii="Times New Roman" w:hAnsi="Times New Roman"/>
          <w:b w:val="0"/>
          <w:sz w:val="20"/>
          <w:szCs w:val="20"/>
        </w:rPr>
        <w:t>Please fill out and return this survey to the NAESB</w:t>
      </w:r>
      <w:r>
        <w:rPr>
          <w:rFonts w:ascii="Times New Roman" w:hAnsi="Times New Roman"/>
          <w:b w:val="0"/>
          <w:sz w:val="20"/>
        </w:rPr>
        <w:t xml:space="preserve"> Office (</w:t>
      </w:r>
      <w:hyperlink r:id="rId9" w:history="1">
        <w:r>
          <w:rPr>
            <w:rStyle w:val="Hyperlink"/>
            <w:rFonts w:ascii="Times New Roman" w:hAnsi="Times New Roman"/>
            <w:b w:val="0"/>
            <w:sz w:val="20"/>
          </w:rPr>
          <w:t>naesb@naesb.org</w:t>
        </w:r>
      </w:hyperlink>
      <w:r>
        <w:rPr>
          <w:rFonts w:ascii="Times New Roman" w:hAnsi="Times New Roman"/>
          <w:b w:val="0"/>
          <w:sz w:val="20"/>
        </w:rPr>
        <w:t xml:space="preserve">) by </w:t>
      </w:r>
      <w:r>
        <w:rPr>
          <w:rFonts w:ascii="Times New Roman" w:hAnsi="Times New Roman"/>
          <w:sz w:val="20"/>
          <w:highlight w:val="yellow"/>
        </w:rPr>
        <w:t>May 4, 2012</w:t>
      </w:r>
      <w:r>
        <w:rPr>
          <w:rFonts w:ascii="Times New Roman" w:hAnsi="Times New Roman"/>
          <w:b w:val="0"/>
          <w:sz w:val="20"/>
        </w:rPr>
        <w:t>.  In filling out the survey, you should read each observation and determine if the observation is related to policy, commercial, standards, or comment categories.  You may select more than one category for an observation, should you determine that an observation fits more than one, and you can provide notes if further context or explanation is needed.</w:t>
      </w:r>
    </w:p>
    <w:p>
      <w:pPr>
        <w:pStyle w:val="Title"/>
        <w:spacing w:before="120" w:after="120"/>
        <w:jc w:val="left"/>
        <w:rPr>
          <w:rFonts w:ascii="Times New Roman" w:hAnsi="Times New Roman"/>
          <w:b w:val="0"/>
          <w:sz w:val="20"/>
        </w:rPr>
      </w:pPr>
      <w:r>
        <w:rPr>
          <w:rFonts w:ascii="Times New Roman" w:hAnsi="Times New Roman"/>
          <w:b w:val="0"/>
          <w:sz w:val="20"/>
        </w:rPr>
        <w:t>The categories are:</w:t>
      </w:r>
    </w:p>
    <w:p>
      <w:pPr>
        <w:pStyle w:val="Title"/>
        <w:numPr>
          <w:ilvl w:val="0"/>
          <w:numId w:val="5"/>
        </w:numPr>
        <w:spacing w:before="120" w:after="120"/>
        <w:jc w:val="left"/>
        <w:rPr>
          <w:rFonts w:ascii="Times New Roman" w:hAnsi="Times New Roman"/>
          <w:b w:val="0"/>
          <w:sz w:val="20"/>
        </w:rPr>
      </w:pPr>
      <w:r>
        <w:rPr>
          <w:rFonts w:ascii="Times New Roman" w:hAnsi="Times New Roman"/>
          <w:b w:val="0"/>
          <w:sz w:val="20"/>
        </w:rPr>
        <w:t xml:space="preserve">Policy:  This category should be chosen if the observation addresses a matter of public interest, consequently, policy decisions by state or federal regulators are needed before standards development (e.g., relative rights among parties) can be considered or be meaningfully advanced.  </w:t>
      </w:r>
    </w:p>
    <w:p>
      <w:pPr>
        <w:pStyle w:val="Title"/>
        <w:numPr>
          <w:ilvl w:val="0"/>
          <w:numId w:val="5"/>
        </w:numPr>
        <w:spacing w:before="120" w:after="120"/>
        <w:jc w:val="left"/>
        <w:rPr>
          <w:rFonts w:ascii="Times New Roman" w:hAnsi="Times New Roman"/>
          <w:b w:val="0"/>
          <w:sz w:val="20"/>
        </w:rPr>
      </w:pPr>
      <w:r>
        <w:rPr>
          <w:rFonts w:ascii="Times New Roman" w:hAnsi="Times New Roman"/>
          <w:b w:val="0"/>
          <w:sz w:val="20"/>
        </w:rPr>
        <w:t>Commercial:  This category should be chosen if the observation addresses the establishment of an arrangement, product, service or market rule by two or more parties, and the arrangement, product, service or market rule may or may not require regulatory approval.</w:t>
      </w:r>
    </w:p>
    <w:p>
      <w:pPr>
        <w:pStyle w:val="Title"/>
        <w:numPr>
          <w:ilvl w:val="0"/>
          <w:numId w:val="5"/>
        </w:numPr>
        <w:spacing w:before="120" w:after="120"/>
        <w:jc w:val="left"/>
        <w:rPr>
          <w:rFonts w:ascii="Times New Roman" w:hAnsi="Times New Roman"/>
          <w:b w:val="0"/>
          <w:sz w:val="20"/>
        </w:rPr>
      </w:pPr>
      <w:r>
        <w:rPr>
          <w:rFonts w:ascii="Times New Roman" w:hAnsi="Times New Roman"/>
          <w:b w:val="0"/>
          <w:sz w:val="20"/>
        </w:rPr>
        <w:t>Standards:  This category should be chosen if the observation addresses circumstances in which a recognized standards development organization should undertake standards development where existing regulatory policy allows, or consider standards development when regulatory guidance is provided.</w:t>
      </w:r>
    </w:p>
    <w:p>
      <w:pPr>
        <w:pStyle w:val="Title"/>
        <w:numPr>
          <w:ilvl w:val="0"/>
          <w:numId w:val="5"/>
        </w:numPr>
        <w:spacing w:before="120" w:after="120"/>
        <w:jc w:val="left"/>
        <w:rPr>
          <w:rFonts w:ascii="Times New Roman" w:hAnsi="Times New Roman"/>
          <w:b w:val="0"/>
          <w:sz w:val="20"/>
        </w:rPr>
      </w:pPr>
      <w:r>
        <w:rPr>
          <w:rFonts w:ascii="Times New Roman" w:hAnsi="Times New Roman"/>
          <w:b w:val="0"/>
          <w:sz w:val="20"/>
        </w:rPr>
        <w:t xml:space="preserve">Comment: This category should be chosen if the observation is more of a comment in its nature, regarding </w:t>
      </w:r>
      <w:proofErr w:type="gramStart"/>
      <w:r>
        <w:rPr>
          <w:rFonts w:ascii="Times New Roman" w:hAnsi="Times New Roman"/>
          <w:b w:val="0"/>
          <w:sz w:val="20"/>
        </w:rPr>
        <w:t>the</w:t>
      </w:r>
      <w:proofErr w:type="gramEnd"/>
      <w:r>
        <w:rPr>
          <w:rFonts w:ascii="Times New Roman" w:hAnsi="Times New Roman"/>
          <w:b w:val="0"/>
          <w:sz w:val="20"/>
        </w:rPr>
        <w:t xml:space="preserve"> operations of one industry or another, and the observation is not directly related to one of the categories noted above.</w:t>
      </w:r>
    </w:p>
    <w:p>
      <w:pPr>
        <w:pStyle w:val="Title"/>
        <w:spacing w:before="120" w:after="120"/>
        <w:jc w:val="left"/>
        <w:rPr>
          <w:rFonts w:ascii="Times New Roman" w:hAnsi="Times New Roman"/>
          <w:b w:val="0"/>
          <w:sz w:val="20"/>
        </w:rPr>
      </w:pPr>
      <w:r>
        <w:rPr>
          <w:rFonts w:ascii="Times New Roman" w:hAnsi="Times New Roman"/>
          <w:b w:val="0"/>
          <w:sz w:val="20"/>
        </w:rPr>
        <w:t>The observations are grouped into four topics addressing (1) scheduling, (2) capacity, (3) curtailment, and (4) communications issues.  There are a few observations that are noted as “deleted” in the survey.  In this stage of committee work product development, the number was noted as “deleted” and reserved, to allow for an easier review against prior versions or draft work products.</w:t>
      </w:r>
    </w:p>
    <w:p>
      <w:pPr>
        <w:pStyle w:val="Title"/>
        <w:spacing w:before="120" w:after="120"/>
        <w:jc w:val="left"/>
        <w:rPr>
          <w:rFonts w:ascii="Times New Roman" w:hAnsi="Times New Roman"/>
          <w:b w:val="0"/>
          <w:sz w:val="20"/>
        </w:rPr>
      </w:pPr>
      <w:r>
        <w:rPr>
          <w:rFonts w:ascii="Times New Roman" w:hAnsi="Times New Roman"/>
          <w:b w:val="0"/>
          <w:sz w:val="20"/>
        </w:rPr>
        <w:t>We should have a response prepared from the submitted surveys and forwarded to you on May 11 in time for our May 16 conference call/web cast.  An announcement should be sent out shortly for the May 16 conference call/web cast.</w:t>
      </w:r>
    </w:p>
    <w:p>
      <w:pPr>
        <w:pStyle w:val="Header"/>
        <w:tabs>
          <w:tab w:val="left" w:pos="1080"/>
        </w:tabs>
        <w:rPr>
          <w:rFonts w:ascii="Bookman Old Style" w:hAnsi="Bookman Old Style"/>
          <w:noProof/>
        </w:rPr>
      </w:pPr>
      <w:r>
        <w:t>As always, we very much appreciate the time and subject matter expertise you bring to our committee and look forward to hearing from you soon.  Should you have any questions on the survey, please do not hesitate to call the office, Valerie Crockett or Sue Tierney.</w:t>
      </w:r>
    </w:p>
    <w:p>
      <w:pPr>
        <w:rPr>
          <w:rFonts w:ascii="Bookman Old Style" w:hAnsi="Bookman Old Style"/>
          <w:b/>
          <w:noProof/>
        </w:rPr>
        <w:sectPr>
          <w:headerReference w:type="default" r:id="rId10"/>
          <w:footerReference w:type="default" r:id="rId11"/>
          <w:pgSz w:w="12240" w:h="15840"/>
          <w:pgMar w:top="1440" w:right="1440" w:bottom="1440" w:left="1440" w:header="720" w:footer="720" w:gutter="0"/>
          <w:cols w:space="720"/>
          <w:docGrid w:linePitch="360"/>
        </w:sectPr>
      </w:pPr>
    </w:p>
    <w:tbl>
      <w:tblPr>
        <w:tblW w:w="14508" w:type="dxa"/>
        <w:jc w:val="right"/>
        <w:tblInd w:w="-3098" w:type="dxa"/>
        <w:tblLook w:val="04A0" w:firstRow="1" w:lastRow="0" w:firstColumn="1" w:lastColumn="0" w:noHBand="0" w:noVBand="1"/>
      </w:tblPr>
      <w:tblGrid>
        <w:gridCol w:w="630"/>
        <w:gridCol w:w="9586"/>
        <w:gridCol w:w="888"/>
        <w:gridCol w:w="1205"/>
        <w:gridCol w:w="1005"/>
        <w:gridCol w:w="1194"/>
      </w:tblGrid>
      <w:tr>
        <w:trPr>
          <w:trHeight w:val="90"/>
          <w:tblHeader/>
          <w:jc w:val="right"/>
        </w:trPr>
        <w:tc>
          <w:tcPr>
            <w:tcW w:w="14508" w:type="dxa"/>
            <w:gridSpan w:val="6"/>
            <w:tcBorders>
              <w:top w:val="nil"/>
              <w:left w:val="nil"/>
              <w:bottom w:val="nil"/>
              <w:right w:val="nil"/>
            </w:tcBorders>
            <w:shd w:val="clear" w:color="auto" w:fill="auto"/>
            <w:noWrap/>
            <w:vAlign w:val="bottom"/>
            <w:hideMark/>
          </w:tcPr>
          <w:p>
            <w:pPr>
              <w:spacing w:before="240" w:after="240" w:line="240" w:lineRule="auto"/>
              <w:jc w:val="center"/>
              <w:rPr>
                <w:rFonts w:ascii="Times New Roman" w:eastAsia="Times New Roman" w:hAnsi="Times New Roman" w:cs="Times New Roman"/>
                <w:b/>
                <w:smallCaps/>
                <w:color w:val="000000"/>
                <w:sz w:val="20"/>
                <w:szCs w:val="20"/>
              </w:rPr>
            </w:pPr>
            <w:r>
              <w:rPr>
                <w:rFonts w:ascii="Times New Roman" w:eastAsia="Times New Roman" w:hAnsi="Times New Roman" w:cs="Times New Roman"/>
                <w:b/>
                <w:smallCaps/>
                <w:color w:val="000000"/>
                <w:sz w:val="20"/>
                <w:szCs w:val="20"/>
              </w:rPr>
              <w:lastRenderedPageBreak/>
              <w:t>NAESB GEH Committee Survey – April 24, 2012</w:t>
            </w:r>
          </w:p>
        </w:tc>
      </w:tr>
      <w:tr>
        <w:trPr>
          <w:trHeight w:val="510"/>
          <w:tblHeader/>
          <w:jc w:val="right"/>
        </w:trPr>
        <w:tc>
          <w:tcPr>
            <w:tcW w:w="630" w:type="dxa"/>
            <w:tcBorders>
              <w:top w:val="nil"/>
              <w:left w:val="nil"/>
              <w:bottom w:val="single" w:sz="4" w:space="0" w:color="auto"/>
              <w:right w:val="nil"/>
            </w:tcBorders>
            <w:shd w:val="clear" w:color="auto" w:fill="auto"/>
            <w:noWrap/>
            <w:vAlign w:val="bottom"/>
            <w:hideMark/>
          </w:tcPr>
          <w:p>
            <w:pPr>
              <w:spacing w:after="0" w:line="240" w:lineRule="auto"/>
              <w:rPr>
                <w:rFonts w:ascii="Times New Roman" w:eastAsia="Times New Roman" w:hAnsi="Times New Roman" w:cs="Times New Roman"/>
                <w:color w:val="000000"/>
                <w:sz w:val="20"/>
                <w:szCs w:val="20"/>
              </w:rPr>
            </w:pPr>
          </w:p>
        </w:tc>
        <w:tc>
          <w:tcPr>
            <w:tcW w:w="9586" w:type="dxa"/>
            <w:tcBorders>
              <w:top w:val="nil"/>
              <w:left w:val="nil"/>
              <w:bottom w:val="single" w:sz="4" w:space="0" w:color="auto"/>
              <w:right w:val="nil"/>
            </w:tcBorders>
            <w:shd w:val="clear" w:color="auto" w:fill="auto"/>
            <w:vAlign w:val="bottom"/>
            <w:hideMark/>
          </w:tcPr>
          <w:p>
            <w:pPr>
              <w:spacing w:after="0" w:line="240" w:lineRule="auto"/>
              <w:rPr>
                <w:rFonts w:ascii="Times New Roman" w:eastAsia="Times New Roman" w:hAnsi="Times New Roman" w:cs="Times New Roman"/>
                <w:color w:val="00000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Policy</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Commercial</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Standards</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Comment</w:t>
            </w:r>
          </w:p>
        </w:tc>
      </w:tr>
      <w:tr>
        <w:trPr>
          <w:trHeight w:val="630"/>
          <w:jc w:val="right"/>
        </w:trPr>
        <w:tc>
          <w:tcPr>
            <w:tcW w:w="14508" w:type="dxa"/>
            <w:gridSpan w:val="6"/>
            <w:tcBorders>
              <w:top w:val="single" w:sz="4" w:space="0" w:color="auto"/>
              <w:left w:val="single" w:sz="4" w:space="0" w:color="auto"/>
              <w:bottom w:val="single" w:sz="4" w:space="0" w:color="auto"/>
              <w:right w:val="single" w:sz="4" w:space="0" w:color="auto"/>
            </w:tcBorders>
            <w:shd w:val="clear" w:color="auto" w:fill="auto"/>
            <w:noWrap/>
          </w:tcPr>
          <w:p>
            <w:pPr>
              <w:pStyle w:val="Title"/>
              <w:spacing w:before="120" w:after="120"/>
              <w:jc w:val="left"/>
              <w:rPr>
                <w:rFonts w:ascii="Times New Roman" w:hAnsi="Times New Roman"/>
                <w:smallCaps/>
                <w:sz w:val="20"/>
                <w:szCs w:val="20"/>
              </w:rPr>
            </w:pPr>
            <w:r>
              <w:rPr>
                <w:rFonts w:ascii="Times New Roman" w:hAnsi="Times New Roman"/>
                <w:smallCaps/>
                <w:sz w:val="20"/>
                <w:szCs w:val="20"/>
              </w:rPr>
              <w:t>1.  Observations and Core Issues as of April 24, 2012:</w:t>
            </w:r>
          </w:p>
          <w:p>
            <w:pPr>
              <w:pStyle w:val="ListParagraph"/>
              <w:numPr>
                <w:ilvl w:val="0"/>
                <w:numId w:val="2"/>
              </w:numPr>
              <w:spacing w:before="120" w:after="120" w:line="240" w:lineRule="auto"/>
              <w:ind w:left="345" w:hanging="345"/>
              <w:contextualSpacing w:val="0"/>
              <w:rPr>
                <w:rFonts w:ascii="Times New Roman" w:eastAsia="Times New Roman" w:hAnsi="Times New Roman" w:cs="Times New Roman"/>
                <w:b/>
                <w:color w:val="000000"/>
                <w:sz w:val="20"/>
                <w:szCs w:val="20"/>
              </w:rPr>
            </w:pPr>
            <w:r>
              <w:rPr>
                <w:rFonts w:ascii="Times New Roman" w:hAnsi="Times New Roman" w:cs="Times New Roman"/>
                <w:sz w:val="20"/>
                <w:szCs w:val="20"/>
              </w:rPr>
              <w:t>Scheduling and other inconsistencies in the interactions of the two markets impact the effectiveness of providing gas and electric service.</w:t>
            </w:r>
          </w:p>
          <w:p>
            <w:pPr>
              <w:pStyle w:val="ListParagraph"/>
              <w:numPr>
                <w:ilvl w:val="0"/>
                <w:numId w:val="2"/>
              </w:numPr>
              <w:spacing w:before="120" w:after="120" w:line="240" w:lineRule="auto"/>
              <w:ind w:left="345" w:hanging="345"/>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Core issue: Should NAESB examine:</w:t>
            </w:r>
          </w:p>
          <w:p>
            <w:pPr>
              <w:pStyle w:val="ListParagraph"/>
              <w:numPr>
                <w:ilvl w:val="0"/>
                <w:numId w:val="2"/>
              </w:numPr>
              <w:spacing w:before="120" w:after="120" w:line="240" w:lineRule="auto"/>
              <w:ind w:left="702"/>
              <w:contextualSpacing w:val="0"/>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The gas &amp; electric scheduling timelines to create more certainty and flexibility in scheduling, recognizing that providing flexibility in one area may take away flexibility in another?</w:t>
            </w:r>
          </w:p>
        </w:tc>
      </w:tr>
      <w:tr>
        <w:trPr>
          <w:trHeight w:val="53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day-of operations, intraday nomination flexibility is key in contingency response, load following, and in backing up renewables.</w:t>
            </w:r>
          </w:p>
        </w:tc>
        <w:tc>
          <w:tcPr>
            <w:tcW w:w="888" w:type="dxa"/>
            <w:tcBorders>
              <w:top w:val="single" w:sz="4" w:space="0" w:color="auto"/>
              <w:left w:val="nil"/>
              <w:bottom w:val="single" w:sz="4" w:space="0" w:color="auto"/>
              <w:right w:val="single" w:sz="4" w:space="0" w:color="auto"/>
            </w:tcBorders>
            <w:shd w:val="clear" w:color="auto" w:fill="auto"/>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7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586" w:type="dxa"/>
            <w:tcBorders>
              <w:top w:val="single" w:sz="4" w:space="0" w:color="auto"/>
              <w:left w:val="nil"/>
              <w:bottom w:val="single" w:sz="4" w:space="0" w:color="auto"/>
              <w:right w:val="nil"/>
            </w:tcBorders>
            <w:shd w:val="clear" w:color="auto" w:fill="auto"/>
            <w:hideMark/>
          </w:tcPr>
          <w:p>
            <w:pPr>
              <w:spacing w:before="120" w:after="12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88" w:type="dxa"/>
            <w:tcBorders>
              <w:top w:val="single" w:sz="4" w:space="0" w:color="auto"/>
              <w:left w:val="single" w:sz="4" w:space="0" w:color="auto"/>
              <w:bottom w:val="single" w:sz="4" w:space="0" w:color="auto"/>
              <w:right w:val="single" w:sz="4" w:space="0" w:color="auto"/>
            </w:tcBorders>
            <w:shd w:val="clear" w:color="auto" w:fill="auto"/>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6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Scheduling flexibility can be introduced on a pipeline by pipeline basis to the pipeline’s customers.  Natural gas market grid synchronization plays a role, as in multi-pipeline nominations which may cross multiple control </w:t>
            </w:r>
            <w:proofErr w:type="gramStart"/>
            <w:r>
              <w:rPr>
                <w:rFonts w:ascii="Times New Roman" w:eastAsia="Times New Roman" w:hAnsi="Times New Roman" w:cs="Times New Roman"/>
                <w:color w:val="000000"/>
                <w:sz w:val="20"/>
                <w:szCs w:val="20"/>
              </w:rPr>
              <w:t>areas,</w:t>
            </w:r>
            <w:proofErr w:type="gramEnd"/>
            <w:r>
              <w:rPr>
                <w:rFonts w:ascii="Times New Roman" w:eastAsia="Times New Roman" w:hAnsi="Times New Roman" w:cs="Times New Roman"/>
                <w:color w:val="000000"/>
                <w:sz w:val="20"/>
                <w:szCs w:val="20"/>
              </w:rPr>
              <w:t xml:space="preserve"> the least flexible pipeline in the chain of nominations will govern the timing of submittal and confirmation of transaction(s).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368"/>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70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w:t>
            </w:r>
            <w:proofErr w:type="gramStart"/>
            <w:r>
              <w:rPr>
                <w:rFonts w:ascii="Times New Roman" w:eastAsia="Times New Roman" w:hAnsi="Times New Roman" w:cs="Times New Roman"/>
                <w:color w:val="000000"/>
                <w:sz w:val="20"/>
                <w:szCs w:val="20"/>
              </w:rPr>
              <w:t>ahead</w:t>
            </w:r>
            <w:proofErr w:type="gramEnd"/>
            <w:r>
              <w:rPr>
                <w:rFonts w:ascii="Times New Roman" w:eastAsia="Times New Roman" w:hAnsi="Times New Roman" w:cs="Times New Roman"/>
                <w:color w:val="000000"/>
                <w:sz w:val="20"/>
                <w:szCs w:val="20"/>
              </w:rPr>
              <w:t xml:space="preserve">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244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w:t>
            </w:r>
            <w:hyperlink r:id="rId12" w:history="1">
              <w:r>
                <w:rPr>
                  <w:rStyle w:val="Hyperlink"/>
                  <w:rFonts w:ascii="Times New Roman" w:eastAsia="Times New Roman" w:hAnsi="Times New Roman" w:cs="Times New Roman"/>
                  <w:sz w:val="20"/>
                  <w:szCs w:val="20"/>
                </w:rPr>
                <w:t>http://elibrary.ferc.gov/idmws/file_list.asp?accession_num=20120315-3006</w:t>
              </w:r>
            </w:hyperlink>
            <w:r>
              <w:rPr>
                <w:rFonts w:ascii="Times New Roman" w:eastAsia="Times New Roman" w:hAnsi="Times New Roman" w:cs="Times New Roman"/>
                <w:color w:val="000000"/>
                <w:sz w:val="20"/>
                <w:szCs w:val="20"/>
              </w:rPr>
              <w:t>), provides some background for this observation.</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46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1-9</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45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44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Using natural gas-fired generation to back up renewables could require enhanced and additional flexibility in day-of nominations and/or no-notice service or similar services.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782"/>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transparency provided through posting of scheduling and capacity information by major non-interstate natural gas pipelines could be helpful, if the impact of the intrastates market on the interstate market is deemed significant.</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2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  Added to Observation 1-8.</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20"/>
          <w:jc w:val="right"/>
        </w:trPr>
        <w:tc>
          <w:tcPr>
            <w:tcW w:w="630" w:type="dxa"/>
            <w:tcBorders>
              <w:top w:val="single" w:sz="4" w:space="0" w:color="auto"/>
              <w:left w:val="single" w:sz="4" w:space="0" w:color="auto"/>
              <w:bottom w:val="single" w:sz="4" w:space="0" w:color="auto"/>
              <w:right w:val="single" w:sz="4" w:space="0" w:color="auto"/>
            </w:tcBorders>
            <w:shd w:val="clear" w:color="000000" w:fill="BFBFBF"/>
            <w:noWrap/>
            <w:hideMark/>
          </w:tcPr>
          <w:p>
            <w:pPr>
              <w:spacing w:before="120" w:after="120" w:line="240" w:lineRule="auto"/>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t> </w:t>
            </w:r>
          </w:p>
        </w:tc>
        <w:tc>
          <w:tcPr>
            <w:tcW w:w="9586" w:type="dxa"/>
            <w:tcBorders>
              <w:top w:val="single" w:sz="4" w:space="0" w:color="auto"/>
              <w:left w:val="nil"/>
              <w:bottom w:val="single" w:sz="4" w:space="0" w:color="auto"/>
              <w:right w:val="single" w:sz="4" w:space="0" w:color="auto"/>
            </w:tcBorders>
            <w:shd w:val="clear" w:color="000000" w:fill="BFBFBF"/>
            <w:hideMark/>
          </w:tcPr>
          <w:p>
            <w:pPr>
              <w:spacing w:before="120" w:after="120" w:line="240" w:lineRule="auto"/>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t> </w:t>
            </w:r>
          </w:p>
        </w:tc>
        <w:tc>
          <w:tcPr>
            <w:tcW w:w="888" w:type="dxa"/>
            <w:tcBorders>
              <w:top w:val="single" w:sz="4" w:space="0" w:color="auto"/>
              <w:left w:val="nil"/>
              <w:bottom w:val="single" w:sz="4" w:space="0" w:color="auto"/>
              <w:right w:val="single" w:sz="4" w:space="0" w:color="auto"/>
            </w:tcBorders>
            <w:shd w:val="clear" w:color="000000" w:fill="BFBFBF"/>
            <w:noWrap/>
          </w:tcPr>
          <w:p>
            <w:pPr>
              <w:spacing w:before="120" w:after="120" w:line="240" w:lineRule="auto"/>
              <w:jc w:val="center"/>
              <w:rPr>
                <w:rFonts w:ascii="Times New Roman" w:eastAsia="Times New Roman" w:hAnsi="Times New Roman" w:cs="Times New Roman"/>
                <w:color w:val="BFBFBF"/>
                <w:sz w:val="20"/>
                <w:szCs w:val="20"/>
              </w:rPr>
            </w:pPr>
          </w:p>
        </w:tc>
        <w:tc>
          <w:tcPr>
            <w:tcW w:w="1205" w:type="dxa"/>
            <w:tcBorders>
              <w:top w:val="single" w:sz="4" w:space="0" w:color="auto"/>
              <w:left w:val="nil"/>
              <w:bottom w:val="single" w:sz="4" w:space="0" w:color="auto"/>
              <w:right w:val="single" w:sz="4" w:space="0" w:color="auto"/>
            </w:tcBorders>
            <w:shd w:val="clear" w:color="000000" w:fill="BFBFBF"/>
            <w:noWrap/>
          </w:tcPr>
          <w:p>
            <w:pPr>
              <w:spacing w:before="120" w:after="120" w:line="240" w:lineRule="auto"/>
              <w:jc w:val="center"/>
              <w:rPr>
                <w:rFonts w:ascii="Times New Roman" w:eastAsia="Times New Roman" w:hAnsi="Times New Roman" w:cs="Times New Roman"/>
                <w:color w:val="BFBFBF"/>
                <w:sz w:val="20"/>
                <w:szCs w:val="20"/>
              </w:rPr>
            </w:pPr>
          </w:p>
        </w:tc>
        <w:tc>
          <w:tcPr>
            <w:tcW w:w="1005" w:type="dxa"/>
            <w:tcBorders>
              <w:top w:val="single" w:sz="4" w:space="0" w:color="auto"/>
              <w:left w:val="nil"/>
              <w:bottom w:val="single" w:sz="4" w:space="0" w:color="auto"/>
              <w:right w:val="single" w:sz="4" w:space="0" w:color="auto"/>
            </w:tcBorders>
            <w:shd w:val="clear" w:color="000000" w:fill="BFBFBF"/>
            <w:noWrap/>
          </w:tcPr>
          <w:p>
            <w:pPr>
              <w:spacing w:before="120" w:after="120" w:line="240" w:lineRule="auto"/>
              <w:jc w:val="center"/>
              <w:rPr>
                <w:rFonts w:ascii="Times New Roman" w:eastAsia="Times New Roman" w:hAnsi="Times New Roman" w:cs="Times New Roman"/>
                <w:color w:val="BFBFBF"/>
                <w:sz w:val="20"/>
                <w:szCs w:val="20"/>
              </w:rPr>
            </w:pPr>
          </w:p>
        </w:tc>
        <w:tc>
          <w:tcPr>
            <w:tcW w:w="1194" w:type="dxa"/>
            <w:tcBorders>
              <w:top w:val="single" w:sz="4" w:space="0" w:color="auto"/>
              <w:left w:val="nil"/>
              <w:bottom w:val="single" w:sz="4" w:space="0" w:color="auto"/>
              <w:right w:val="single" w:sz="4" w:space="0" w:color="auto"/>
            </w:tcBorders>
            <w:shd w:val="clear" w:color="000000" w:fill="BFBFBF"/>
            <w:noWrap/>
            <w:hideMark/>
          </w:tcPr>
          <w:p>
            <w:pPr>
              <w:spacing w:before="120" w:after="120" w:line="240" w:lineRule="auto"/>
              <w:jc w:val="center"/>
              <w:rPr>
                <w:rFonts w:ascii="Times New Roman" w:eastAsia="Times New Roman" w:hAnsi="Times New Roman" w:cs="Times New Roman"/>
                <w:color w:val="BFBFBF"/>
                <w:sz w:val="20"/>
                <w:szCs w:val="20"/>
              </w:rPr>
            </w:pPr>
          </w:p>
        </w:tc>
      </w:tr>
      <w:tr>
        <w:trPr>
          <w:trHeight w:val="2897"/>
          <w:jc w:val="right"/>
        </w:trPr>
        <w:tc>
          <w:tcPr>
            <w:tcW w:w="10216" w:type="dxa"/>
            <w:gridSpan w:val="2"/>
            <w:tcBorders>
              <w:top w:val="single" w:sz="4" w:space="0" w:color="auto"/>
              <w:left w:val="single" w:sz="4" w:space="0" w:color="auto"/>
              <w:bottom w:val="single" w:sz="4" w:space="0" w:color="auto"/>
              <w:right w:val="single" w:sz="4" w:space="0" w:color="auto"/>
            </w:tcBorders>
            <w:shd w:val="clear" w:color="auto" w:fill="auto"/>
          </w:tcPr>
          <w:p>
            <w:pPr>
              <w:pStyle w:val="Title"/>
              <w:keepNext/>
              <w:spacing w:before="120" w:after="120"/>
              <w:jc w:val="left"/>
              <w:rPr>
                <w:rFonts w:ascii="Times New Roman" w:hAnsi="Times New Roman"/>
                <w:smallCaps/>
                <w:sz w:val="20"/>
                <w:szCs w:val="20"/>
              </w:rPr>
            </w:pPr>
            <w:r>
              <w:rPr>
                <w:rFonts w:ascii="Times New Roman" w:hAnsi="Times New Roman"/>
                <w:smallCaps/>
                <w:sz w:val="20"/>
                <w:szCs w:val="20"/>
              </w:rPr>
              <w:lastRenderedPageBreak/>
              <w:t xml:space="preserve">2.  Observations and Core Issues as of April 24, </w:t>
            </w:r>
            <w:proofErr w:type="gramStart"/>
            <w:r>
              <w:rPr>
                <w:rFonts w:ascii="Times New Roman" w:hAnsi="Times New Roman"/>
                <w:smallCaps/>
                <w:sz w:val="20"/>
                <w:szCs w:val="20"/>
              </w:rPr>
              <w:t>2012 :</w:t>
            </w:r>
            <w:proofErr w:type="gramEnd"/>
          </w:p>
          <w:p>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Capacity issues including the availability and determination to use firm and interruptible capacity to support load requirements is a core issue in the interdependencies of the two markets, for both the day of and the day </w:t>
            </w:r>
            <w:proofErr w:type="gramStart"/>
            <w:r>
              <w:rPr>
                <w:rFonts w:ascii="Times New Roman" w:hAnsi="Times New Roman" w:cs="Times New Roman"/>
                <w:sz w:val="20"/>
                <w:szCs w:val="20"/>
              </w:rPr>
              <w:t>ahead</w:t>
            </w:r>
            <w:proofErr w:type="gramEnd"/>
            <w:r>
              <w:rPr>
                <w:rFonts w:ascii="Times New Roman" w:hAnsi="Times New Roman" w:cs="Times New Roman"/>
                <w:sz w:val="20"/>
                <w:szCs w:val="20"/>
              </w:rPr>
              <w:t xml:space="preserve"> markets.</w:t>
            </w:r>
          </w:p>
          <w:p>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Core Issue:</w:t>
            </w:r>
          </w:p>
          <w:p>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Recognizing the interdependency of the gas and electric markets in both the day of and day ahead operations, should NAESB examine:</w:t>
            </w:r>
          </w:p>
          <w:p>
            <w:pPr>
              <w:pStyle w:val="ListParagraph"/>
              <w:keepNext/>
              <w:numPr>
                <w:ilvl w:val="0"/>
                <w:numId w:val="4"/>
              </w:numPr>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pPr>
              <w:pStyle w:val="ListParagraph"/>
              <w:keepNext/>
              <w:numPr>
                <w:ilvl w:val="0"/>
                <w:numId w:val="4"/>
              </w:numPr>
              <w:spacing w:before="120" w:after="120" w:line="240" w:lineRule="auto"/>
              <w:rPr>
                <w:rFonts w:ascii="Times New Roman" w:eastAsia="Times New Roman" w:hAnsi="Times New Roman" w:cs="Times New Roman"/>
                <w:color w:val="000000"/>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structure of communications to make for a better utilization of existing infrastructure and capacity.</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r>
      <w:tr>
        <w:trPr>
          <w:trHeight w:val="1178"/>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r>
      <w:tr>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2-4</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r>
      <w:tr>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r>
      <w:tr>
        <w:trPr>
          <w:trHeight w:val="1637"/>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88" w:type="dxa"/>
            <w:tcBorders>
              <w:top w:val="single" w:sz="4" w:space="0" w:color="auto"/>
              <w:left w:val="nil"/>
              <w:bottom w:val="single" w:sz="4" w:space="0" w:color="auto"/>
              <w:right w:val="single" w:sz="4" w:space="0" w:color="auto"/>
            </w:tcBorders>
            <w:shd w:val="clear" w:color="auto" w:fill="auto"/>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r>
      <w:tr>
        <w:trPr>
          <w:trHeight w:val="315"/>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[Deleted.]</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r>
      <w:tr>
        <w:trPr>
          <w:trHeight w:val="692"/>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431"/>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Price signal information, which could be an input to cost recovery, is needed by generators when making economic decisions on fuels and services in support of reliable service.</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50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Incorporating use of LNG and storage facilities as peak shaving units can provide flexibility for power generation and expands the capability of the market in meeting demand for power.</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377"/>
          <w:jc w:val="right"/>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2-11</w:t>
            </w:r>
          </w:p>
        </w:tc>
        <w:tc>
          <w:tcPr>
            <w:tcW w:w="9586" w:type="dxa"/>
            <w:tcBorders>
              <w:top w:val="single" w:sz="4" w:space="0" w:color="auto"/>
              <w:left w:val="nil"/>
              <w:bottom w:val="single" w:sz="4" w:space="0" w:color="auto"/>
              <w:right w:val="single" w:sz="4" w:space="0" w:color="auto"/>
            </w:tcBorders>
            <w:shd w:val="clear" w:color="000000" w:fill="FFFFFF"/>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68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431"/>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Adequate lead times to secure the replacement capacity and energy is</w:t>
            </w:r>
            <w:proofErr w:type="gramEnd"/>
            <w:r>
              <w:rPr>
                <w:rFonts w:ascii="Times New Roman" w:eastAsia="Times New Roman" w:hAnsi="Times New Roman" w:cs="Times New Roman"/>
                <w:color w:val="000000"/>
                <w:sz w:val="20"/>
                <w:szCs w:val="20"/>
              </w:rPr>
              <w:t xml:space="preserve"> needed in order to reliably address any stress that is introduced when generation units are retired or taken offline. </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13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862"/>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367"/>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2-17</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368"/>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255"/>
          <w:jc w:val="right"/>
        </w:trPr>
        <w:tc>
          <w:tcPr>
            <w:tcW w:w="630" w:type="dxa"/>
            <w:tcBorders>
              <w:top w:val="single" w:sz="4" w:space="0" w:color="auto"/>
              <w:left w:val="single" w:sz="4" w:space="0" w:color="auto"/>
              <w:bottom w:val="single" w:sz="4" w:space="0" w:color="auto"/>
              <w:right w:val="single" w:sz="4" w:space="0" w:color="auto"/>
            </w:tcBorders>
            <w:shd w:val="clear" w:color="000000" w:fill="D9D9D9"/>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586" w:type="dxa"/>
            <w:tcBorders>
              <w:top w:val="single" w:sz="4" w:space="0" w:color="auto"/>
              <w:left w:val="nil"/>
              <w:bottom w:val="single" w:sz="4" w:space="0" w:color="auto"/>
              <w:right w:val="single" w:sz="4" w:space="0" w:color="auto"/>
            </w:tcBorders>
            <w:shd w:val="clear" w:color="000000" w:fill="D9D9D9"/>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D9D9D9"/>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D9D9D9"/>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D9D9D9"/>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065"/>
          <w:jc w:val="right"/>
        </w:trPr>
        <w:tc>
          <w:tcPr>
            <w:tcW w:w="10216" w:type="dxa"/>
            <w:gridSpan w:val="2"/>
            <w:tcBorders>
              <w:top w:val="single" w:sz="4" w:space="0" w:color="auto"/>
              <w:left w:val="single" w:sz="4" w:space="0" w:color="auto"/>
              <w:bottom w:val="single" w:sz="4" w:space="0" w:color="auto"/>
              <w:right w:val="single" w:sz="4" w:space="0" w:color="auto"/>
            </w:tcBorders>
            <w:shd w:val="clear" w:color="auto" w:fill="auto"/>
            <w:noWrap/>
          </w:tcPr>
          <w:p>
            <w:pPr>
              <w:pStyle w:val="Title"/>
              <w:keepNext/>
              <w:spacing w:before="120" w:after="120"/>
              <w:jc w:val="left"/>
              <w:rPr>
                <w:rFonts w:ascii="Times New Roman" w:hAnsi="Times New Roman"/>
                <w:smallCaps/>
                <w:sz w:val="20"/>
                <w:szCs w:val="20"/>
              </w:rPr>
            </w:pPr>
            <w:r>
              <w:rPr>
                <w:rFonts w:ascii="Times New Roman" w:hAnsi="Times New Roman"/>
                <w:smallCaps/>
                <w:sz w:val="20"/>
                <w:szCs w:val="20"/>
              </w:rPr>
              <w:lastRenderedPageBreak/>
              <w:t xml:space="preserve">3.  Observations and Core Issues as of April 24, </w:t>
            </w:r>
            <w:proofErr w:type="gramStart"/>
            <w:r>
              <w:rPr>
                <w:rFonts w:ascii="Times New Roman" w:hAnsi="Times New Roman"/>
                <w:smallCaps/>
                <w:sz w:val="20"/>
                <w:szCs w:val="20"/>
              </w:rPr>
              <w:t>2012 :</w:t>
            </w:r>
            <w:proofErr w:type="gramEnd"/>
          </w:p>
          <w:p>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Curtailment policies and practices are components of the interdependency of the two markets that impacts harmonization.  Curtailment is interruption of service that has been scheduled.</w:t>
            </w:r>
          </w:p>
          <w:p>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Core Issue:</w:t>
            </w:r>
          </w:p>
          <w:p>
            <w:pPr>
              <w:keepNext/>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r>
      <w:tr>
        <w:trPr>
          <w:trHeight w:val="548"/>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Generators can introduce flexibility through the use of reserves and ancillary services, which is determined through regionally based decisions and considered part of market design.</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70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46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586" w:type="dxa"/>
            <w:tcBorders>
              <w:top w:val="single" w:sz="4" w:space="0" w:color="auto"/>
              <w:left w:val="nil"/>
              <w:bottom w:val="single" w:sz="4" w:space="0" w:color="auto"/>
              <w:right w:val="single" w:sz="4" w:space="0" w:color="auto"/>
            </w:tcBorders>
            <w:shd w:val="clear" w:color="auto" w:fill="auto"/>
            <w:hideMark/>
          </w:tcPr>
          <w:p>
            <w:pPr>
              <w:pStyle w:val="Title"/>
              <w:spacing w:before="120" w:after="120"/>
              <w:jc w:val="left"/>
              <w:rPr>
                <w:rFonts w:ascii="Times New Roman" w:hAnsi="Times New Roman"/>
                <w:b w:val="0"/>
                <w:bCs w:val="0"/>
                <w:sz w:val="20"/>
                <w:szCs w:val="20"/>
              </w:rPr>
            </w:pPr>
            <w:r>
              <w:rPr>
                <w:rFonts w:ascii="Times New Roman" w:hAnsi="Times New Roman"/>
                <w:b w:val="0"/>
                <w:bCs w:val="0"/>
                <w:sz w:val="20"/>
                <w:szCs w:val="2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w:t>
            </w:r>
          </w:p>
          <w:p>
            <w:pPr>
              <w:pStyle w:val="Title"/>
              <w:spacing w:before="120" w:after="120"/>
              <w:jc w:val="left"/>
              <w:rPr>
                <w:rFonts w:ascii="Times New Roman" w:hAnsi="Times New Roman"/>
                <w:b w:val="0"/>
                <w:bCs w:val="0"/>
                <w:sz w:val="20"/>
                <w:szCs w:val="20"/>
              </w:rPr>
            </w:pPr>
            <w:r>
              <w:rPr>
                <w:rFonts w:ascii="Times New Roman" w:hAnsi="Times New Roman"/>
                <w:b w:val="0"/>
                <w:bCs w:val="0"/>
                <w:sz w:val="20"/>
                <w:szCs w:val="20"/>
              </w:rPr>
              <w:t xml:space="preserve">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w:t>
            </w:r>
            <w:r>
              <w:rPr>
                <w:rFonts w:ascii="Times New Roman" w:hAnsi="Times New Roman"/>
                <w:b w:val="0"/>
                <w:bCs w:val="0"/>
                <w:sz w:val="20"/>
                <w:szCs w:val="20"/>
              </w:rPr>
              <w:lastRenderedPageBreak/>
              <w:t xml:space="preserve">generator operations. </w:t>
            </w:r>
          </w:p>
          <w:p>
            <w:pPr>
              <w:pStyle w:val="Title"/>
              <w:spacing w:before="120" w:after="120"/>
              <w:jc w:val="left"/>
              <w:rPr>
                <w:rFonts w:ascii="Times New Roman" w:hAnsi="Times New Roman"/>
                <w:b w:val="0"/>
                <w:bCs w:val="0"/>
                <w:sz w:val="20"/>
                <w:szCs w:val="20"/>
              </w:rPr>
            </w:pPr>
            <w:r>
              <w:rPr>
                <w:rFonts w:ascii="Times New Roman" w:hAnsi="Times New Roman"/>
                <w:b w:val="0"/>
                <w:bCs w:val="0"/>
                <w:sz w:val="20"/>
                <w:szCs w:val="20"/>
              </w:rP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p>
          <w:p>
            <w:pPr>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Nonetheless, public disclosure of information of this type could have unintended anti-competitive inter-fuel impacts.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61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3-4</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88" w:type="dxa"/>
            <w:tcBorders>
              <w:top w:val="single" w:sz="4" w:space="0" w:color="auto"/>
              <w:left w:val="nil"/>
              <w:bottom w:val="single" w:sz="4" w:space="0" w:color="auto"/>
              <w:right w:val="single" w:sz="4" w:space="0" w:color="auto"/>
            </w:tcBorders>
            <w:shd w:val="clear" w:color="auto" w:fill="auto"/>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89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88" w:type="dxa"/>
            <w:tcBorders>
              <w:top w:val="single" w:sz="4" w:space="0" w:color="auto"/>
              <w:left w:val="nil"/>
              <w:bottom w:val="single" w:sz="4" w:space="0" w:color="auto"/>
              <w:right w:val="single" w:sz="4" w:space="0" w:color="auto"/>
            </w:tcBorders>
            <w:shd w:val="clear" w:color="auto" w:fill="auto"/>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773"/>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1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386"/>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3-8</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 – combined with observation 3-3.]</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35"/>
          <w:jc w:val="right"/>
        </w:trPr>
        <w:tc>
          <w:tcPr>
            <w:tcW w:w="630" w:type="dxa"/>
            <w:tcBorders>
              <w:top w:val="single" w:sz="4" w:space="0" w:color="auto"/>
              <w:left w:val="single" w:sz="4" w:space="0" w:color="auto"/>
              <w:bottom w:val="single" w:sz="4" w:space="0" w:color="auto"/>
              <w:right w:val="single" w:sz="4" w:space="0" w:color="auto"/>
            </w:tcBorders>
            <w:shd w:val="clear" w:color="000000" w:fill="D9D9D9"/>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586" w:type="dxa"/>
            <w:tcBorders>
              <w:top w:val="single" w:sz="4" w:space="0" w:color="auto"/>
              <w:left w:val="nil"/>
              <w:bottom w:val="single" w:sz="4" w:space="0" w:color="auto"/>
              <w:right w:val="single" w:sz="4" w:space="0" w:color="auto"/>
            </w:tcBorders>
            <w:shd w:val="clear" w:color="000000" w:fill="D9D9D9"/>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D9D9D9"/>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D9D9D9"/>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D9D9D9"/>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920"/>
          <w:jc w:val="right"/>
        </w:trPr>
        <w:tc>
          <w:tcPr>
            <w:tcW w:w="10216" w:type="dxa"/>
            <w:gridSpan w:val="2"/>
            <w:tcBorders>
              <w:top w:val="single" w:sz="4" w:space="0" w:color="auto"/>
              <w:left w:val="single" w:sz="4" w:space="0" w:color="auto"/>
              <w:bottom w:val="single" w:sz="4" w:space="0" w:color="auto"/>
              <w:right w:val="single" w:sz="4" w:space="0" w:color="auto"/>
            </w:tcBorders>
            <w:shd w:val="clear" w:color="000000" w:fill="FFFFFF"/>
            <w:noWrap/>
          </w:tcPr>
          <w:p>
            <w:pPr>
              <w:pStyle w:val="Title"/>
              <w:keepNext/>
              <w:spacing w:before="120" w:after="120"/>
              <w:jc w:val="left"/>
              <w:rPr>
                <w:rFonts w:ascii="Times New Roman" w:hAnsi="Times New Roman"/>
                <w:smallCaps/>
                <w:sz w:val="20"/>
                <w:szCs w:val="20"/>
              </w:rPr>
            </w:pPr>
            <w:r>
              <w:rPr>
                <w:rFonts w:ascii="Times New Roman" w:hAnsi="Times New Roman"/>
                <w:smallCaps/>
                <w:sz w:val="20"/>
                <w:szCs w:val="20"/>
              </w:rPr>
              <w:t xml:space="preserve">4.  Observations and Core Issues as of April 24, </w:t>
            </w:r>
            <w:proofErr w:type="gramStart"/>
            <w:r>
              <w:rPr>
                <w:rFonts w:ascii="Times New Roman" w:hAnsi="Times New Roman"/>
                <w:smallCaps/>
                <w:sz w:val="20"/>
                <w:szCs w:val="20"/>
              </w:rPr>
              <w:t>2012 :</w:t>
            </w:r>
            <w:proofErr w:type="gramEnd"/>
          </w:p>
          <w:p>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Additional and more formal structure for communications of the parties in the gas and electric markets is needed, particularly for unanticipated demand situations.</w:t>
            </w:r>
          </w:p>
          <w:p>
            <w:pPr>
              <w:keepNext/>
              <w:spacing w:before="120" w:after="120" w:line="240" w:lineRule="auto"/>
              <w:rPr>
                <w:rFonts w:ascii="Times New Roman" w:hAnsi="Times New Roman" w:cs="Times New Roman"/>
                <w:sz w:val="20"/>
                <w:szCs w:val="20"/>
              </w:rPr>
            </w:pPr>
            <w:r>
              <w:rPr>
                <w:rFonts w:ascii="Times New Roman" w:hAnsi="Times New Roman" w:cs="Times New Roman"/>
                <w:sz w:val="20"/>
                <w:szCs w:val="20"/>
              </w:rPr>
              <w:t>Core Issue:</w:t>
            </w:r>
          </w:p>
          <w:p>
            <w:pPr>
              <w:keepNext/>
              <w:spacing w:before="120" w:after="12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Should NAESB examine a more comprehensive approach to communications between the two markets and among participants in each of the markets as the communications impact the interdependency of the markets?</w:t>
            </w:r>
          </w:p>
        </w:tc>
        <w:tc>
          <w:tcPr>
            <w:tcW w:w="888"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r>
      <w:tr>
        <w:trPr>
          <w:trHeight w:val="1196"/>
          <w:jc w:val="right"/>
        </w:trPr>
        <w:tc>
          <w:tcPr>
            <w:tcW w:w="630" w:type="dxa"/>
            <w:tcBorders>
              <w:top w:val="single" w:sz="4" w:space="0" w:color="auto"/>
              <w:left w:val="single" w:sz="4" w:space="0" w:color="auto"/>
              <w:bottom w:val="single" w:sz="4" w:space="0" w:color="auto"/>
              <w:right w:val="single" w:sz="4" w:space="0" w:color="auto"/>
            </w:tcBorders>
            <w:shd w:val="clear" w:color="000000" w:fill="FFFFFF"/>
            <w:noWrap/>
            <w:hideMark/>
          </w:tcPr>
          <w:p>
            <w:pPr>
              <w:keepNext/>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586" w:type="dxa"/>
            <w:tcBorders>
              <w:top w:val="single" w:sz="4" w:space="0" w:color="auto"/>
              <w:left w:val="nil"/>
              <w:bottom w:val="single" w:sz="4" w:space="0" w:color="auto"/>
              <w:right w:val="single" w:sz="4" w:space="0" w:color="auto"/>
            </w:tcBorders>
            <w:shd w:val="clear" w:color="000000" w:fill="FFFFFF"/>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t>
            </w:r>
            <w:proofErr w:type="gramStart"/>
            <w:r>
              <w:rPr>
                <w:rFonts w:ascii="Times New Roman" w:eastAsia="Times New Roman" w:hAnsi="Times New Roman" w:cs="Times New Roman"/>
                <w:color w:val="000000"/>
                <w:sz w:val="20"/>
                <w:szCs w:val="20"/>
              </w:rPr>
              <w:t>who</w:t>
            </w:r>
            <w:proofErr w:type="gramEnd"/>
            <w:r>
              <w:rPr>
                <w:rFonts w:ascii="Times New Roman" w:eastAsia="Times New Roman" w:hAnsi="Times New Roman" w:cs="Times New Roman"/>
                <w:color w:val="000000"/>
                <w:sz w:val="20"/>
                <w:szCs w:val="20"/>
              </w:rPr>
              <w:t xml:space="preserve"> provides the information, who accesses the information, and how the information is presented, should be analyzed to ensure that the needed confidentiality is preserved. </w:t>
            </w:r>
          </w:p>
        </w:tc>
        <w:tc>
          <w:tcPr>
            <w:tcW w:w="888"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539"/>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Communication and associated procedures may support the development of decision enabling tools with respect to day-of service, that may support efforts for contingency response.</w:t>
            </w:r>
          </w:p>
        </w:tc>
        <w:tc>
          <w:tcPr>
            <w:tcW w:w="888"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7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2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[Deleted – replaced by 4-0.]</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4-4</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125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53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r>
        <w:trPr>
          <w:trHeight w:val="35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586" w:type="dxa"/>
            <w:tcBorders>
              <w:top w:val="single" w:sz="4" w:space="0" w:color="auto"/>
              <w:left w:val="nil"/>
              <w:bottom w:val="single" w:sz="4" w:space="0" w:color="auto"/>
              <w:right w:val="single" w:sz="4" w:space="0" w:color="auto"/>
            </w:tcBorders>
            <w:shd w:val="clear" w:color="auto" w:fill="auto"/>
            <w:hideMark/>
          </w:tcPr>
          <w:p>
            <w:pPr>
              <w:spacing w:before="120"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pPr>
              <w:spacing w:before="120" w:after="120" w:line="240" w:lineRule="auto"/>
              <w:jc w:val="center"/>
              <w:rPr>
                <w:rFonts w:ascii="Times New Roman" w:eastAsia="Times New Roman" w:hAnsi="Times New Roman" w:cs="Times New Roman"/>
                <w:color w:val="000000"/>
                <w:sz w:val="20"/>
                <w:szCs w:val="20"/>
              </w:rPr>
            </w:pPr>
          </w:p>
        </w:tc>
      </w:tr>
    </w:tbl>
    <w:p>
      <w:pPr>
        <w:sectPr>
          <w:pgSz w:w="15840" w:h="12240" w:orient="landscape"/>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trPr>
          <w:tblHeader/>
        </w:trPr>
        <w:tc>
          <w:tcPr>
            <w:tcW w:w="10008" w:type="dxa"/>
            <w:gridSpan w:val="2"/>
            <w:tcBorders>
              <w:bottom w:val="single" w:sz="4" w:space="0" w:color="auto"/>
            </w:tcBorders>
          </w:tcPr>
          <w:p>
            <w:pPr>
              <w:pStyle w:val="Title"/>
              <w:spacing w:before="120" w:after="120"/>
              <w:rPr>
                <w:rFonts w:ascii="Times New Roman" w:hAnsi="Times New Roman"/>
                <w:smallCaps/>
                <w:sz w:val="20"/>
              </w:rPr>
            </w:pPr>
            <w:r>
              <w:rPr>
                <w:rFonts w:ascii="Times New Roman" w:hAnsi="Times New Roman"/>
                <w:smallCaps/>
                <w:sz w:val="20"/>
              </w:rPr>
              <w:lastRenderedPageBreak/>
              <w:t xml:space="preserve">NAESB Gas-Electric Harmonization Committee Named Members </w:t>
            </w:r>
          </w:p>
        </w:tc>
      </w:tr>
      <w:tr>
        <w:trPr>
          <w:tblHeader/>
        </w:trPr>
        <w:tc>
          <w:tcPr>
            <w:tcW w:w="2988" w:type="dxa"/>
            <w:tcBorders>
              <w:top w:val="single" w:sz="4" w:space="0" w:color="auto"/>
              <w:bottom w:val="single" w:sz="4" w:space="0" w:color="auto"/>
            </w:tcBorders>
          </w:tcPr>
          <w:p>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pPr>
              <w:pStyle w:val="Title"/>
              <w:rPr>
                <w:rFonts w:ascii="Times New Roman" w:hAnsi="Times New Roman"/>
                <w:sz w:val="20"/>
              </w:rPr>
            </w:pPr>
            <w:r>
              <w:rPr>
                <w:rFonts w:ascii="Times New Roman" w:hAnsi="Times New Roman"/>
                <w:sz w:val="20"/>
              </w:rPr>
              <w:t>Company/Organization</w:t>
            </w:r>
          </w:p>
        </w:tc>
      </w:tr>
      <w:tr>
        <w:tc>
          <w:tcPr>
            <w:tcW w:w="2988" w:type="dxa"/>
          </w:tcPr>
          <w:p>
            <w:pPr>
              <w:pStyle w:val="Title"/>
              <w:jc w:val="left"/>
              <w:rPr>
                <w:rFonts w:ascii="Times New Roman" w:hAnsi="Times New Roman"/>
                <w:b w:val="0"/>
                <w:sz w:val="20"/>
              </w:rPr>
            </w:pPr>
            <w:r>
              <w:rPr>
                <w:rFonts w:ascii="Times New Roman" w:hAnsi="Times New Roman"/>
                <w:b w:val="0"/>
                <w:sz w:val="20"/>
              </w:rPr>
              <w:t>Vicky Bailey</w:t>
            </w:r>
          </w:p>
        </w:tc>
        <w:tc>
          <w:tcPr>
            <w:tcW w:w="7020" w:type="dxa"/>
          </w:tcPr>
          <w:p>
            <w:pPr>
              <w:pStyle w:val="Title"/>
              <w:jc w:val="left"/>
              <w:rPr>
                <w:rFonts w:ascii="Times New Roman" w:hAnsi="Times New Roman"/>
                <w:b w:val="0"/>
                <w:sz w:val="20"/>
              </w:rPr>
            </w:pPr>
            <w:r>
              <w:rPr>
                <w:rFonts w:ascii="Times New Roman" w:hAnsi="Times New Roman"/>
                <w:b w:val="0"/>
                <w:sz w:val="20"/>
              </w:rPr>
              <w:t>BHMM Energy Services, LLC</w:t>
            </w:r>
          </w:p>
        </w:tc>
      </w:tr>
      <w:tr>
        <w:tc>
          <w:tcPr>
            <w:tcW w:w="2988" w:type="dxa"/>
          </w:tcPr>
          <w:p>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pPr>
              <w:pStyle w:val="Title"/>
              <w:jc w:val="left"/>
              <w:rPr>
                <w:rFonts w:ascii="Times New Roman" w:hAnsi="Times New Roman"/>
                <w:b w:val="0"/>
                <w:sz w:val="20"/>
              </w:rPr>
            </w:pPr>
            <w:r>
              <w:rPr>
                <w:rFonts w:ascii="Times New Roman" w:hAnsi="Times New Roman"/>
                <w:b w:val="0"/>
                <w:sz w:val="20"/>
              </w:rPr>
              <w:t>Tennessee Gas Pipeline Company</w:t>
            </w:r>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pPr>
              <w:pStyle w:val="Title"/>
              <w:jc w:val="left"/>
              <w:rPr>
                <w:rFonts w:ascii="Times New Roman" w:hAnsi="Times New Roman"/>
                <w:b w:val="0"/>
                <w:sz w:val="20"/>
              </w:rPr>
            </w:pPr>
            <w:r>
              <w:rPr>
                <w:rFonts w:ascii="Times New Roman" w:hAnsi="Times New Roman"/>
                <w:b w:val="0"/>
                <w:sz w:val="20"/>
              </w:rPr>
              <w:t>8760 Inc.</w:t>
            </w:r>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pPr>
              <w:pStyle w:val="Title"/>
              <w:jc w:val="left"/>
              <w:rPr>
                <w:rFonts w:ascii="Times New Roman" w:hAnsi="Times New Roman"/>
                <w:b w:val="0"/>
                <w:sz w:val="20"/>
              </w:rPr>
            </w:pPr>
            <w:r>
              <w:rPr>
                <w:rFonts w:ascii="Times New Roman" w:hAnsi="Times New Roman"/>
                <w:b w:val="0"/>
                <w:sz w:val="20"/>
              </w:rPr>
              <w:t>AGL Resources, Inc.</w:t>
            </w:r>
          </w:p>
        </w:tc>
      </w:tr>
      <w:tr>
        <w:tc>
          <w:tcPr>
            <w:tcW w:w="2988" w:type="dxa"/>
          </w:tcPr>
          <w:p>
            <w:pPr>
              <w:pStyle w:val="Title"/>
              <w:jc w:val="left"/>
              <w:rPr>
                <w:rFonts w:ascii="Times New Roman" w:hAnsi="Times New Roman"/>
                <w:b w:val="0"/>
                <w:sz w:val="20"/>
              </w:rPr>
            </w:pPr>
            <w:r>
              <w:rPr>
                <w:rFonts w:ascii="Times New Roman" w:hAnsi="Times New Roman"/>
                <w:b w:val="0"/>
                <w:sz w:val="20"/>
              </w:rPr>
              <w:t>Craig Colombo</w:t>
            </w:r>
          </w:p>
        </w:tc>
        <w:tc>
          <w:tcPr>
            <w:tcW w:w="7020" w:type="dxa"/>
          </w:tcPr>
          <w:p>
            <w:pPr>
              <w:pStyle w:val="Title"/>
              <w:jc w:val="left"/>
              <w:rPr>
                <w:rFonts w:ascii="Times New Roman" w:hAnsi="Times New Roman"/>
                <w:b w:val="0"/>
                <w:sz w:val="20"/>
              </w:rPr>
            </w:pPr>
            <w:r>
              <w:rPr>
                <w:rFonts w:ascii="Times New Roman" w:hAnsi="Times New Roman"/>
                <w:b w:val="0"/>
                <w:sz w:val="20"/>
              </w:rPr>
              <w:t>Dominion Resources</w:t>
            </w:r>
          </w:p>
        </w:tc>
      </w:tr>
      <w:tr>
        <w:tc>
          <w:tcPr>
            <w:tcW w:w="2988" w:type="dxa"/>
          </w:tcPr>
          <w:p>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tc>
          <w:tcPr>
            <w:tcW w:w="2988" w:type="dxa"/>
          </w:tcPr>
          <w:p>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pPr>
              <w:pStyle w:val="Title"/>
              <w:jc w:val="left"/>
              <w:rPr>
                <w:rFonts w:ascii="Times New Roman" w:hAnsi="Times New Roman"/>
                <w:b w:val="0"/>
                <w:sz w:val="20"/>
              </w:rPr>
            </w:pPr>
            <w:r>
              <w:rPr>
                <w:rFonts w:ascii="Times New Roman" w:hAnsi="Times New Roman"/>
                <w:b w:val="0"/>
                <w:sz w:val="20"/>
              </w:rPr>
              <w:t>The United Illuminating Company</w:t>
            </w:r>
          </w:p>
        </w:tc>
      </w:tr>
      <w:tr>
        <w:tc>
          <w:tcPr>
            <w:tcW w:w="2988" w:type="dxa"/>
          </w:tcPr>
          <w:p>
            <w:pPr>
              <w:pStyle w:val="Title"/>
              <w:jc w:val="left"/>
              <w:rPr>
                <w:rFonts w:ascii="Times New Roman" w:hAnsi="Times New Roman"/>
                <w:b w:val="0"/>
                <w:sz w:val="20"/>
              </w:rPr>
            </w:pPr>
            <w:r>
              <w:rPr>
                <w:rFonts w:ascii="Times New Roman" w:hAnsi="Times New Roman"/>
                <w:b w:val="0"/>
                <w:sz w:val="20"/>
              </w:rPr>
              <w:t>Michael Desselle</w:t>
            </w:r>
          </w:p>
        </w:tc>
        <w:tc>
          <w:tcPr>
            <w:tcW w:w="7020" w:type="dxa"/>
          </w:tcPr>
          <w:p>
            <w:pPr>
              <w:pStyle w:val="Title"/>
              <w:jc w:val="left"/>
              <w:rPr>
                <w:rFonts w:ascii="Times New Roman" w:hAnsi="Times New Roman"/>
                <w:b w:val="0"/>
                <w:sz w:val="20"/>
              </w:rPr>
            </w:pPr>
            <w:r>
              <w:rPr>
                <w:rFonts w:ascii="Times New Roman" w:hAnsi="Times New Roman"/>
                <w:b w:val="0"/>
                <w:sz w:val="20"/>
              </w:rPr>
              <w:t>Southwest Power Pool</w:t>
            </w:r>
          </w:p>
        </w:tc>
      </w:tr>
      <w:tr>
        <w:tc>
          <w:tcPr>
            <w:tcW w:w="2988" w:type="dxa"/>
          </w:tcPr>
          <w:p>
            <w:pPr>
              <w:pStyle w:val="Title"/>
              <w:jc w:val="left"/>
              <w:rPr>
                <w:rFonts w:ascii="Times New Roman" w:hAnsi="Times New Roman"/>
                <w:b w:val="0"/>
                <w:sz w:val="20"/>
              </w:rPr>
            </w:pPr>
            <w:r>
              <w:rPr>
                <w:rFonts w:ascii="Times New Roman" w:hAnsi="Times New Roman"/>
                <w:b w:val="0"/>
                <w:sz w:val="20"/>
              </w:rPr>
              <w:t>Katie Elder</w:t>
            </w:r>
          </w:p>
        </w:tc>
        <w:tc>
          <w:tcPr>
            <w:tcW w:w="7020" w:type="dxa"/>
          </w:tcPr>
          <w:p>
            <w:pPr>
              <w:pStyle w:val="Title"/>
              <w:jc w:val="left"/>
              <w:rPr>
                <w:rFonts w:ascii="Times New Roman" w:hAnsi="Times New Roman"/>
                <w:b w:val="0"/>
                <w:sz w:val="20"/>
              </w:rPr>
            </w:pPr>
            <w:r>
              <w:rPr>
                <w:rFonts w:ascii="Times New Roman" w:hAnsi="Times New Roman"/>
                <w:b w:val="0"/>
                <w:sz w:val="20"/>
              </w:rPr>
              <w:t>Aspen Environmental Group</w:t>
            </w:r>
          </w:p>
        </w:tc>
      </w:tr>
      <w:tr>
        <w:tc>
          <w:tcPr>
            <w:tcW w:w="2988" w:type="dxa"/>
          </w:tcPr>
          <w:p>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tc>
          <w:tcPr>
            <w:tcW w:w="2988" w:type="dxa"/>
          </w:tcPr>
          <w:p>
            <w:pPr>
              <w:pStyle w:val="Title"/>
              <w:jc w:val="left"/>
              <w:rPr>
                <w:rFonts w:ascii="Times New Roman" w:hAnsi="Times New Roman"/>
                <w:b w:val="0"/>
                <w:sz w:val="20"/>
              </w:rPr>
            </w:pPr>
            <w:r>
              <w:rPr>
                <w:rFonts w:ascii="Times New Roman" w:hAnsi="Times New Roman"/>
                <w:b w:val="0"/>
                <w:sz w:val="20"/>
              </w:rPr>
              <w:t>Lisa Epifani</w:t>
            </w:r>
          </w:p>
        </w:tc>
        <w:tc>
          <w:tcPr>
            <w:tcW w:w="7020" w:type="dxa"/>
          </w:tcPr>
          <w:p>
            <w:pPr>
              <w:pStyle w:val="Title"/>
              <w:jc w:val="left"/>
              <w:rPr>
                <w:rFonts w:ascii="Times New Roman" w:hAnsi="Times New Roman"/>
                <w:b w:val="0"/>
                <w:sz w:val="20"/>
              </w:rPr>
            </w:pPr>
            <w:r>
              <w:rPr>
                <w:rFonts w:ascii="Times New Roman" w:hAnsi="Times New Roman"/>
                <w:b w:val="0"/>
                <w:sz w:val="20"/>
              </w:rPr>
              <w:t>Van Ness Feldman</w:t>
            </w:r>
          </w:p>
        </w:tc>
      </w:tr>
      <w:tr>
        <w:tc>
          <w:tcPr>
            <w:tcW w:w="2988" w:type="dxa"/>
          </w:tcPr>
          <w:p>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pPr>
              <w:pStyle w:val="Title"/>
              <w:jc w:val="left"/>
              <w:rPr>
                <w:rFonts w:ascii="Times New Roman" w:hAnsi="Times New Roman"/>
                <w:b w:val="0"/>
                <w:sz w:val="20"/>
              </w:rPr>
            </w:pPr>
            <w:r>
              <w:rPr>
                <w:rFonts w:ascii="Times New Roman" w:hAnsi="Times New Roman"/>
                <w:b w:val="0"/>
                <w:sz w:val="20"/>
              </w:rPr>
              <w:t>US Department of Energy</w:t>
            </w:r>
          </w:p>
        </w:tc>
      </w:tr>
      <w:tr>
        <w:tc>
          <w:tcPr>
            <w:tcW w:w="2988" w:type="dxa"/>
          </w:tcPr>
          <w:p>
            <w:pPr>
              <w:pStyle w:val="Title"/>
              <w:jc w:val="left"/>
              <w:rPr>
                <w:rFonts w:ascii="Times New Roman" w:hAnsi="Times New Roman"/>
                <w:b w:val="0"/>
                <w:sz w:val="20"/>
              </w:rPr>
            </w:pPr>
            <w:r>
              <w:rPr>
                <w:rFonts w:ascii="Times New Roman" w:hAnsi="Times New Roman"/>
                <w:b w:val="0"/>
                <w:sz w:val="20"/>
              </w:rPr>
              <w:t>Arthur Fusco</w:t>
            </w:r>
          </w:p>
        </w:tc>
        <w:tc>
          <w:tcPr>
            <w:tcW w:w="7020" w:type="dxa"/>
          </w:tcPr>
          <w:p>
            <w:pPr>
              <w:pStyle w:val="Title"/>
              <w:jc w:val="left"/>
              <w:rPr>
                <w:rFonts w:ascii="Times New Roman" w:hAnsi="Times New Roman"/>
                <w:b w:val="0"/>
                <w:sz w:val="20"/>
              </w:rPr>
            </w:pPr>
            <w:r>
              <w:rPr>
                <w:rFonts w:ascii="Times New Roman" w:hAnsi="Times New Roman"/>
                <w:b w:val="0"/>
                <w:sz w:val="20"/>
              </w:rPr>
              <w:t>Central Electric Power Cooperative Inc.</w:t>
            </w:r>
          </w:p>
        </w:tc>
      </w:tr>
      <w:tr>
        <w:tc>
          <w:tcPr>
            <w:tcW w:w="2988" w:type="dxa"/>
          </w:tcPr>
          <w:p>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tc>
          <w:tcPr>
            <w:tcW w:w="2988" w:type="dxa"/>
          </w:tcPr>
          <w:p>
            <w:pPr>
              <w:pStyle w:val="Title"/>
              <w:jc w:val="left"/>
              <w:rPr>
                <w:rFonts w:ascii="Times New Roman" w:hAnsi="Times New Roman"/>
                <w:b w:val="0"/>
                <w:sz w:val="20"/>
              </w:rPr>
            </w:pPr>
            <w:r>
              <w:rPr>
                <w:rFonts w:ascii="Times New Roman" w:hAnsi="Times New Roman"/>
                <w:b w:val="0"/>
                <w:sz w:val="20"/>
              </w:rPr>
              <w:t>Bob Gee</w:t>
            </w:r>
          </w:p>
        </w:tc>
        <w:tc>
          <w:tcPr>
            <w:tcW w:w="7020" w:type="dxa"/>
          </w:tcPr>
          <w:p>
            <w:pPr>
              <w:pStyle w:val="Title"/>
              <w:jc w:val="left"/>
              <w:rPr>
                <w:rFonts w:ascii="Times New Roman" w:hAnsi="Times New Roman"/>
                <w:b w:val="0"/>
                <w:sz w:val="20"/>
              </w:rPr>
            </w:pPr>
            <w:r>
              <w:rPr>
                <w:rFonts w:ascii="Times New Roman" w:hAnsi="Times New Roman"/>
                <w:b w:val="0"/>
                <w:sz w:val="20"/>
              </w:rPr>
              <w:t>Gee Strategies Group, LLC</w:t>
            </w:r>
          </w:p>
        </w:tc>
      </w:tr>
      <w:tr>
        <w:tc>
          <w:tcPr>
            <w:tcW w:w="2988" w:type="dxa"/>
          </w:tcPr>
          <w:p>
            <w:pPr>
              <w:pStyle w:val="Title"/>
              <w:jc w:val="left"/>
              <w:rPr>
                <w:rFonts w:ascii="Times New Roman" w:hAnsi="Times New Roman"/>
                <w:b w:val="0"/>
                <w:sz w:val="20"/>
              </w:rPr>
            </w:pPr>
            <w:r>
              <w:rPr>
                <w:rFonts w:ascii="Times New Roman" w:hAnsi="Times New Roman"/>
                <w:b w:val="0"/>
                <w:sz w:val="20"/>
              </w:rPr>
              <w:t>Michehl Gent</w:t>
            </w:r>
          </w:p>
        </w:tc>
        <w:tc>
          <w:tcPr>
            <w:tcW w:w="7020" w:type="dxa"/>
          </w:tcPr>
          <w:p>
            <w:pPr>
              <w:pStyle w:val="Title"/>
              <w:jc w:val="left"/>
              <w:rPr>
                <w:rFonts w:ascii="Times New Roman" w:hAnsi="Times New Roman"/>
                <w:b w:val="0"/>
                <w:sz w:val="20"/>
              </w:rPr>
            </w:pPr>
            <w:r>
              <w:rPr>
                <w:rFonts w:ascii="Times New Roman" w:hAnsi="Times New Roman"/>
                <w:b w:val="0"/>
                <w:sz w:val="20"/>
              </w:rPr>
              <w:t>Open Access Technology International, Inc.</w:t>
            </w:r>
          </w:p>
        </w:tc>
      </w:tr>
      <w:tr>
        <w:tc>
          <w:tcPr>
            <w:tcW w:w="2988" w:type="dxa"/>
          </w:tcPr>
          <w:p>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pPr>
              <w:pStyle w:val="Title"/>
              <w:jc w:val="left"/>
              <w:rPr>
                <w:rFonts w:ascii="Times New Roman" w:hAnsi="Times New Roman"/>
                <w:b w:val="0"/>
                <w:sz w:val="20"/>
              </w:rPr>
            </w:pPr>
            <w:r>
              <w:rPr>
                <w:rFonts w:ascii="Times New Roman" w:hAnsi="Times New Roman"/>
                <w:b w:val="0"/>
                <w:sz w:val="20"/>
              </w:rPr>
              <w:t>FERC</w:t>
            </w:r>
          </w:p>
        </w:tc>
      </w:tr>
      <w:tr>
        <w:tc>
          <w:tcPr>
            <w:tcW w:w="2988" w:type="dxa"/>
          </w:tcPr>
          <w:p>
            <w:pPr>
              <w:pStyle w:val="Title"/>
              <w:jc w:val="left"/>
              <w:rPr>
                <w:rFonts w:ascii="Times New Roman" w:hAnsi="Times New Roman"/>
                <w:b w:val="0"/>
                <w:sz w:val="20"/>
              </w:rPr>
            </w:pPr>
            <w:r>
              <w:rPr>
                <w:rFonts w:ascii="Times New Roman" w:hAnsi="Times New Roman"/>
                <w:b w:val="0"/>
                <w:sz w:val="20"/>
              </w:rPr>
              <w:t>Joseph Hartsoe</w:t>
            </w:r>
          </w:p>
        </w:tc>
        <w:tc>
          <w:tcPr>
            <w:tcW w:w="7020" w:type="dxa"/>
          </w:tcPr>
          <w:p>
            <w:pPr>
              <w:pStyle w:val="Title"/>
              <w:jc w:val="left"/>
              <w:rPr>
                <w:rFonts w:ascii="Times New Roman" w:hAnsi="Times New Roman"/>
                <w:b w:val="0"/>
                <w:sz w:val="20"/>
              </w:rPr>
            </w:pPr>
            <w:r>
              <w:rPr>
                <w:rFonts w:ascii="Times New Roman" w:hAnsi="Times New Roman"/>
                <w:b w:val="0"/>
                <w:sz w:val="20"/>
              </w:rPr>
              <w:t>American Electric Power Service Corp.</w:t>
            </w:r>
          </w:p>
        </w:tc>
      </w:tr>
      <w:tr>
        <w:tc>
          <w:tcPr>
            <w:tcW w:w="2988" w:type="dxa"/>
          </w:tcPr>
          <w:p>
            <w:pPr>
              <w:pStyle w:val="Title"/>
              <w:jc w:val="left"/>
              <w:rPr>
                <w:rFonts w:ascii="Times New Roman" w:hAnsi="Times New Roman"/>
                <w:b w:val="0"/>
                <w:sz w:val="20"/>
              </w:rPr>
            </w:pPr>
            <w:r>
              <w:rPr>
                <w:rFonts w:ascii="Times New Roman" w:hAnsi="Times New Roman"/>
                <w:b w:val="0"/>
                <w:sz w:val="20"/>
              </w:rPr>
              <w:t>Jesse D. Hurley</w:t>
            </w:r>
          </w:p>
        </w:tc>
        <w:tc>
          <w:tcPr>
            <w:tcW w:w="7020" w:type="dxa"/>
          </w:tcPr>
          <w:p>
            <w:pPr>
              <w:pStyle w:val="Title"/>
              <w:jc w:val="left"/>
              <w:rPr>
                <w:rFonts w:ascii="Times New Roman" w:hAnsi="Times New Roman"/>
                <w:b w:val="0"/>
                <w:sz w:val="20"/>
              </w:rPr>
            </w:pPr>
            <w:r>
              <w:rPr>
                <w:rFonts w:ascii="Times New Roman" w:hAnsi="Times New Roman"/>
                <w:b w:val="0"/>
                <w:sz w:val="20"/>
              </w:rPr>
              <w:t>Shift Research, LLC</w:t>
            </w:r>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pPr>
              <w:pStyle w:val="Title"/>
              <w:jc w:val="left"/>
              <w:rPr>
                <w:rFonts w:ascii="Times New Roman" w:hAnsi="Times New Roman"/>
                <w:b w:val="0"/>
                <w:sz w:val="20"/>
              </w:rPr>
            </w:pPr>
            <w:r>
              <w:rPr>
                <w:rFonts w:ascii="Times New Roman" w:hAnsi="Times New Roman"/>
                <w:b w:val="0"/>
                <w:sz w:val="20"/>
              </w:rPr>
              <w:t>ISO New England, Inc.</w:t>
            </w:r>
          </w:p>
        </w:tc>
      </w:tr>
      <w:tr>
        <w:tc>
          <w:tcPr>
            <w:tcW w:w="2988" w:type="dxa"/>
          </w:tcPr>
          <w:p>
            <w:pPr>
              <w:pStyle w:val="Title"/>
              <w:jc w:val="left"/>
              <w:rPr>
                <w:rFonts w:ascii="Times New Roman" w:hAnsi="Times New Roman"/>
                <w:b w:val="0"/>
                <w:sz w:val="20"/>
              </w:rPr>
            </w:pPr>
            <w:r>
              <w:rPr>
                <w:rFonts w:ascii="Times New Roman" w:hAnsi="Times New Roman"/>
                <w:b w:val="0"/>
                <w:sz w:val="20"/>
              </w:rPr>
              <w:t>Richard Kruse</w:t>
            </w:r>
          </w:p>
        </w:tc>
        <w:tc>
          <w:tcPr>
            <w:tcW w:w="7020" w:type="dxa"/>
          </w:tcPr>
          <w:p>
            <w:pPr>
              <w:pStyle w:val="Title"/>
              <w:jc w:val="left"/>
              <w:rPr>
                <w:rFonts w:ascii="Times New Roman" w:hAnsi="Times New Roman"/>
                <w:b w:val="0"/>
                <w:sz w:val="20"/>
              </w:rPr>
            </w:pPr>
            <w:r>
              <w:rPr>
                <w:rFonts w:ascii="Times New Roman" w:hAnsi="Times New Roman"/>
                <w:b w:val="0"/>
                <w:sz w:val="20"/>
              </w:rPr>
              <w:t>Spectra Energy Transmission</w:t>
            </w:r>
          </w:p>
        </w:tc>
      </w:tr>
      <w:tr>
        <w:tc>
          <w:tcPr>
            <w:tcW w:w="2988" w:type="dxa"/>
          </w:tcPr>
          <w:p>
            <w:pPr>
              <w:pStyle w:val="Title"/>
              <w:jc w:val="left"/>
              <w:rPr>
                <w:rFonts w:ascii="Times New Roman" w:hAnsi="Times New Roman"/>
                <w:b w:val="0"/>
                <w:sz w:val="20"/>
              </w:rPr>
            </w:pPr>
            <w:r>
              <w:rPr>
                <w:rFonts w:ascii="Times New Roman" w:hAnsi="Times New Roman"/>
                <w:b w:val="0"/>
                <w:sz w:val="20"/>
              </w:rPr>
              <w:t>Gregory Lander</w:t>
            </w:r>
          </w:p>
        </w:tc>
        <w:tc>
          <w:tcPr>
            <w:tcW w:w="7020" w:type="dxa"/>
          </w:tcPr>
          <w:p>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pPr>
              <w:pStyle w:val="Title"/>
              <w:jc w:val="left"/>
              <w:rPr>
                <w:rFonts w:ascii="Times New Roman" w:hAnsi="Times New Roman"/>
                <w:b w:val="0"/>
                <w:sz w:val="20"/>
              </w:rPr>
            </w:pPr>
            <w:r>
              <w:rPr>
                <w:rFonts w:ascii="Times New Roman" w:hAnsi="Times New Roman"/>
                <w:b w:val="0"/>
                <w:sz w:val="20"/>
              </w:rPr>
              <w:t>Southern Company</w:t>
            </w:r>
          </w:p>
        </w:tc>
      </w:tr>
      <w:tr>
        <w:tc>
          <w:tcPr>
            <w:tcW w:w="2988" w:type="dxa"/>
          </w:tcPr>
          <w:p>
            <w:pPr>
              <w:pStyle w:val="Title"/>
              <w:jc w:val="left"/>
              <w:rPr>
                <w:rFonts w:ascii="Times New Roman" w:hAnsi="Times New Roman"/>
                <w:b w:val="0"/>
                <w:sz w:val="20"/>
              </w:rPr>
            </w:pPr>
            <w:r>
              <w:rPr>
                <w:rFonts w:ascii="Times New Roman" w:hAnsi="Times New Roman"/>
                <w:b w:val="0"/>
                <w:sz w:val="20"/>
              </w:rPr>
              <w:t>Rana Mukerji</w:t>
            </w:r>
          </w:p>
        </w:tc>
        <w:tc>
          <w:tcPr>
            <w:tcW w:w="7020" w:type="dxa"/>
          </w:tcPr>
          <w:p>
            <w:pPr>
              <w:pStyle w:val="Title"/>
              <w:jc w:val="left"/>
              <w:rPr>
                <w:rFonts w:ascii="Times New Roman" w:hAnsi="Times New Roman"/>
                <w:b w:val="0"/>
                <w:sz w:val="20"/>
              </w:rPr>
            </w:pPr>
            <w:r>
              <w:rPr>
                <w:rFonts w:ascii="Times New Roman" w:hAnsi="Times New Roman"/>
                <w:b w:val="0"/>
                <w:sz w:val="20"/>
              </w:rPr>
              <w:t>New York Independent System Operator, Inc. (NYISO)</w:t>
            </w:r>
          </w:p>
        </w:tc>
      </w:tr>
      <w:tr>
        <w:tc>
          <w:tcPr>
            <w:tcW w:w="2988" w:type="dxa"/>
          </w:tcPr>
          <w:p>
            <w:pPr>
              <w:pStyle w:val="Title"/>
              <w:jc w:val="left"/>
              <w:rPr>
                <w:rFonts w:ascii="Times New Roman" w:hAnsi="Times New Roman"/>
                <w:b w:val="0"/>
                <w:sz w:val="20"/>
              </w:rPr>
            </w:pPr>
            <w:r>
              <w:rPr>
                <w:rFonts w:ascii="Times New Roman" w:hAnsi="Times New Roman"/>
                <w:b w:val="0"/>
                <w:sz w:val="20"/>
              </w:rPr>
              <w:t>Lou Oberski</w:t>
            </w:r>
          </w:p>
        </w:tc>
        <w:tc>
          <w:tcPr>
            <w:tcW w:w="7020" w:type="dxa"/>
          </w:tcPr>
          <w:p>
            <w:pPr>
              <w:pStyle w:val="Title"/>
              <w:jc w:val="left"/>
              <w:rPr>
                <w:rFonts w:ascii="Times New Roman" w:hAnsi="Times New Roman"/>
                <w:b w:val="0"/>
                <w:sz w:val="20"/>
              </w:rPr>
            </w:pPr>
            <w:r>
              <w:rPr>
                <w:rFonts w:ascii="Times New Roman" w:hAnsi="Times New Roman"/>
                <w:b w:val="0"/>
                <w:sz w:val="20"/>
              </w:rPr>
              <w:t>Dominion Resources Services, Inc.</w:t>
            </w:r>
          </w:p>
        </w:tc>
      </w:tr>
      <w:tr>
        <w:tc>
          <w:tcPr>
            <w:tcW w:w="2988" w:type="dxa"/>
          </w:tcPr>
          <w:p>
            <w:pPr>
              <w:pStyle w:val="Title"/>
              <w:jc w:val="left"/>
              <w:rPr>
                <w:rFonts w:ascii="Times New Roman" w:hAnsi="Times New Roman"/>
                <w:b w:val="0"/>
                <w:sz w:val="20"/>
              </w:rPr>
            </w:pPr>
            <w:r>
              <w:rPr>
                <w:rFonts w:ascii="Times New Roman" w:hAnsi="Times New Roman"/>
                <w:b w:val="0"/>
                <w:sz w:val="20"/>
              </w:rPr>
              <w:t>Joelle Ogg</w:t>
            </w:r>
          </w:p>
        </w:tc>
        <w:tc>
          <w:tcPr>
            <w:tcW w:w="7020" w:type="dxa"/>
          </w:tcPr>
          <w:p>
            <w:pPr>
              <w:pStyle w:val="Title"/>
              <w:jc w:val="left"/>
              <w:rPr>
                <w:rFonts w:ascii="Times New Roman" w:hAnsi="Times New Roman"/>
                <w:b w:val="0"/>
                <w:sz w:val="20"/>
              </w:rPr>
            </w:pPr>
            <w:r>
              <w:rPr>
                <w:rFonts w:ascii="Times New Roman" w:hAnsi="Times New Roman"/>
                <w:b w:val="0"/>
                <w:sz w:val="20"/>
              </w:rPr>
              <w:t>DC Energy</w:t>
            </w:r>
          </w:p>
        </w:tc>
      </w:tr>
      <w:tr>
        <w:tc>
          <w:tcPr>
            <w:tcW w:w="2988" w:type="dxa"/>
          </w:tcPr>
          <w:p>
            <w:pPr>
              <w:pStyle w:val="Title"/>
              <w:jc w:val="left"/>
              <w:rPr>
                <w:rFonts w:ascii="Times New Roman" w:hAnsi="Times New Roman"/>
                <w:b w:val="0"/>
                <w:sz w:val="20"/>
              </w:rPr>
            </w:pPr>
            <w:r>
              <w:rPr>
                <w:rFonts w:ascii="Times New Roman" w:hAnsi="Times New Roman"/>
                <w:b w:val="0"/>
                <w:sz w:val="20"/>
              </w:rPr>
              <w:t>Randy E. Parker</w:t>
            </w:r>
          </w:p>
        </w:tc>
        <w:tc>
          <w:tcPr>
            <w:tcW w:w="7020" w:type="dxa"/>
          </w:tcPr>
          <w:p>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pPr>
              <w:pStyle w:val="Title"/>
              <w:jc w:val="left"/>
              <w:rPr>
                <w:rFonts w:ascii="Times New Roman" w:hAnsi="Times New Roman"/>
                <w:b w:val="0"/>
                <w:sz w:val="20"/>
              </w:rPr>
            </w:pPr>
            <w:r>
              <w:rPr>
                <w:rFonts w:ascii="Times New Roman" w:hAnsi="Times New Roman"/>
                <w:b w:val="0"/>
                <w:sz w:val="20"/>
              </w:rPr>
              <w:t>American Midstream Partners, LP</w:t>
            </w:r>
          </w:p>
        </w:tc>
      </w:tr>
      <w:tr>
        <w:tc>
          <w:tcPr>
            <w:tcW w:w="2988" w:type="dxa"/>
          </w:tcPr>
          <w:p>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tc>
          <w:tcPr>
            <w:tcW w:w="2988" w:type="dxa"/>
          </w:tcPr>
          <w:p>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tc>
          <w:tcPr>
            <w:tcW w:w="2988" w:type="dxa"/>
          </w:tcPr>
          <w:p>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pPr>
              <w:pStyle w:val="Title"/>
              <w:jc w:val="left"/>
              <w:rPr>
                <w:rFonts w:ascii="Times New Roman" w:hAnsi="Times New Roman"/>
                <w:b w:val="0"/>
                <w:sz w:val="20"/>
              </w:rPr>
            </w:pPr>
            <w:r>
              <w:rPr>
                <w:rFonts w:ascii="Times New Roman" w:hAnsi="Times New Roman"/>
                <w:b w:val="0"/>
                <w:sz w:val="20"/>
              </w:rPr>
              <w:t>FERC</w:t>
            </w:r>
          </w:p>
        </w:tc>
      </w:tr>
      <w:tr>
        <w:tc>
          <w:tcPr>
            <w:tcW w:w="2988" w:type="dxa"/>
          </w:tcPr>
          <w:p>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tc>
          <w:tcPr>
            <w:tcW w:w="2988" w:type="dxa"/>
          </w:tcPr>
          <w:p>
            <w:pPr>
              <w:pStyle w:val="Title"/>
              <w:jc w:val="left"/>
              <w:rPr>
                <w:rFonts w:ascii="Times New Roman" w:hAnsi="Times New Roman"/>
                <w:b w:val="0"/>
                <w:sz w:val="20"/>
              </w:rPr>
            </w:pPr>
            <w:r>
              <w:rPr>
                <w:rFonts w:ascii="Times New Roman" w:hAnsi="Times New Roman"/>
                <w:b w:val="0"/>
                <w:sz w:val="20"/>
              </w:rPr>
              <w:t>Rick Smead</w:t>
            </w:r>
          </w:p>
        </w:tc>
        <w:tc>
          <w:tcPr>
            <w:tcW w:w="7020" w:type="dxa"/>
          </w:tcPr>
          <w:p>
            <w:pPr>
              <w:pStyle w:val="Title"/>
              <w:jc w:val="left"/>
              <w:rPr>
                <w:rFonts w:ascii="Times New Roman" w:hAnsi="Times New Roman"/>
                <w:b w:val="0"/>
                <w:sz w:val="20"/>
              </w:rPr>
            </w:pPr>
            <w:r>
              <w:rPr>
                <w:rFonts w:ascii="Times New Roman" w:hAnsi="Times New Roman"/>
                <w:b w:val="0"/>
                <w:sz w:val="20"/>
              </w:rPr>
              <w:t>Navigant Consulting, Inc.</w:t>
            </w:r>
          </w:p>
        </w:tc>
      </w:tr>
      <w:tr>
        <w:tc>
          <w:tcPr>
            <w:tcW w:w="2988" w:type="dxa"/>
          </w:tcPr>
          <w:p>
            <w:pPr>
              <w:pStyle w:val="Title"/>
              <w:jc w:val="left"/>
              <w:rPr>
                <w:rFonts w:ascii="Times New Roman" w:hAnsi="Times New Roman"/>
                <w:b w:val="0"/>
                <w:sz w:val="20"/>
              </w:rPr>
            </w:pPr>
            <w:r>
              <w:rPr>
                <w:rFonts w:ascii="Times New Roman" w:hAnsi="Times New Roman"/>
                <w:b w:val="0"/>
                <w:sz w:val="20"/>
              </w:rPr>
              <w:lastRenderedPageBreak/>
              <w:t>Terence (Terry) Thorn</w:t>
            </w:r>
          </w:p>
        </w:tc>
        <w:tc>
          <w:tcPr>
            <w:tcW w:w="7020" w:type="dxa"/>
          </w:tcPr>
          <w:p>
            <w:pPr>
              <w:pStyle w:val="Title"/>
              <w:jc w:val="left"/>
              <w:rPr>
                <w:rFonts w:ascii="Times New Roman" w:hAnsi="Times New Roman"/>
                <w:b w:val="0"/>
                <w:sz w:val="20"/>
              </w:rPr>
            </w:pPr>
            <w:r>
              <w:rPr>
                <w:rFonts w:ascii="Times New Roman" w:hAnsi="Times New Roman"/>
                <w:b w:val="0"/>
                <w:sz w:val="20"/>
              </w:rPr>
              <w:t>KEMA Gas Consulting Services</w:t>
            </w:r>
          </w:p>
        </w:tc>
      </w:tr>
      <w:tr>
        <w:tc>
          <w:tcPr>
            <w:tcW w:w="2988" w:type="dxa"/>
          </w:tcPr>
          <w:p>
            <w:pPr>
              <w:pStyle w:val="Title"/>
              <w:jc w:val="left"/>
              <w:rPr>
                <w:rFonts w:ascii="Times New Roman" w:hAnsi="Times New Roman"/>
                <w:sz w:val="20"/>
              </w:rPr>
            </w:pPr>
            <w:r>
              <w:rPr>
                <w:rFonts w:ascii="Times New Roman" w:hAnsi="Times New Roman"/>
                <w:sz w:val="20"/>
              </w:rPr>
              <w:t xml:space="preserve">Sue Tierney </w:t>
            </w:r>
            <w:r>
              <w:rPr>
                <w:rFonts w:ascii="Times New Roman" w:hAnsi="Times New Roman"/>
                <w:i/>
                <w:sz w:val="20"/>
              </w:rPr>
              <w:t>(Co-Chair)</w:t>
            </w:r>
          </w:p>
        </w:tc>
        <w:tc>
          <w:tcPr>
            <w:tcW w:w="7020" w:type="dxa"/>
          </w:tcPr>
          <w:p>
            <w:pPr>
              <w:pStyle w:val="Title"/>
              <w:jc w:val="left"/>
              <w:rPr>
                <w:rFonts w:ascii="Times New Roman" w:hAnsi="Times New Roman"/>
                <w:b w:val="0"/>
                <w:sz w:val="20"/>
              </w:rPr>
            </w:pPr>
            <w:r>
              <w:rPr>
                <w:rFonts w:ascii="Times New Roman" w:hAnsi="Times New Roman"/>
                <w:b w:val="0"/>
                <w:sz w:val="20"/>
              </w:rPr>
              <w:t>Analysis Group, Inc.</w:t>
            </w:r>
          </w:p>
        </w:tc>
      </w:tr>
      <w:tr>
        <w:tc>
          <w:tcPr>
            <w:tcW w:w="2988" w:type="dxa"/>
            <w:tcBorders>
              <w:bottom w:val="single" w:sz="4" w:space="0" w:color="auto"/>
            </w:tcBorders>
          </w:tcPr>
          <w:p>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sect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GEH Survey, April 26, 2012</w:t>
    </w:r>
  </w:p>
  <w:p>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14</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link w:val="TitleChar"/>
    <w:qFormat/>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Pr>
      <w:rFonts w:ascii="Bookman Old Style" w:hAnsi="Bookman Old Style" w:cs="Times New Roman"/>
      <w:b/>
      <w:bCs/>
      <w:sz w:val="18"/>
      <w:szCs w:val="18"/>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link w:val="TitleChar"/>
    <w:qFormat/>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Pr>
      <w:rFonts w:ascii="Bookman Old Style" w:hAnsi="Bookman Old Style" w:cs="Times New Roman"/>
      <w:b/>
      <w:bCs/>
      <w:sz w:val="18"/>
      <w:szCs w:val="18"/>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library.ferc.gov/idmws/file_list.asp?accession_num=20120315-3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esb@naesb.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69961-D7EF-4461-96FA-AF7795AA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McQuade</dc:creator>
  <cp:lastModifiedBy>Veronica Thomason</cp:lastModifiedBy>
  <cp:revision>4</cp:revision>
  <dcterms:created xsi:type="dcterms:W3CDTF">2012-04-26T15:36:00Z</dcterms:created>
  <dcterms:modified xsi:type="dcterms:W3CDTF">2012-04-26T16:21:00Z</dcterms:modified>
</cp:coreProperties>
</file>