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35" w:type="dxa"/>
        <w:jc w:val="right"/>
        <w:tblLook w:val="04A0" w:firstRow="1" w:lastRow="0" w:firstColumn="1" w:lastColumn="0" w:noHBand="0" w:noVBand="1"/>
      </w:tblPr>
      <w:tblGrid>
        <w:gridCol w:w="1205"/>
        <w:gridCol w:w="5956"/>
        <w:gridCol w:w="888"/>
        <w:gridCol w:w="990"/>
        <w:gridCol w:w="1005"/>
        <w:gridCol w:w="1080"/>
        <w:gridCol w:w="1172"/>
        <w:gridCol w:w="990"/>
        <w:gridCol w:w="1249"/>
      </w:tblGrid>
      <w:tr w:rsidR="00602F2F" w:rsidRPr="00AB210E" w:rsidTr="00602F2F">
        <w:trPr>
          <w:trHeight w:val="255"/>
          <w:jc w:val="right"/>
        </w:trPr>
        <w:tc>
          <w:tcPr>
            <w:tcW w:w="1453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17A6" w:rsidRPr="002D17A6" w:rsidRDefault="002D17A6" w:rsidP="002D17A6">
            <w:pPr>
              <w:spacing w:before="240" w:after="240" w:line="240" w:lineRule="auto"/>
              <w:jc w:val="center"/>
              <w:rPr>
                <w:rFonts w:ascii="Times New Roman" w:eastAsia="Times New Roman" w:hAnsi="Times New Roman" w:cs="Times New Roman"/>
                <w:b/>
                <w:smallCaps/>
                <w:color w:val="000000"/>
                <w:sz w:val="20"/>
                <w:szCs w:val="20"/>
              </w:rPr>
            </w:pPr>
            <w:r w:rsidRPr="002D17A6">
              <w:rPr>
                <w:rFonts w:ascii="Times New Roman" w:eastAsia="Times New Roman" w:hAnsi="Times New Roman" w:cs="Times New Roman"/>
                <w:b/>
                <w:smallCaps/>
                <w:color w:val="000000"/>
                <w:sz w:val="20"/>
                <w:szCs w:val="20"/>
              </w:rPr>
              <w:t>NAESB GEH Committee Matrix of Observations – April 24, 2012</w:t>
            </w:r>
          </w:p>
          <w:p w:rsidR="00602F2F" w:rsidRPr="00AB210E" w:rsidRDefault="00602F2F" w:rsidP="002D17A6">
            <w:pPr>
              <w:spacing w:before="240" w:after="24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KEY</w:t>
            </w:r>
          </w:p>
        </w:tc>
      </w:tr>
      <w:tr w:rsidR="00602F2F" w:rsidRPr="00AB210E" w:rsidTr="00104318">
        <w:trPr>
          <w:trHeight w:val="260"/>
          <w:jc w:val="right"/>
        </w:trPr>
        <w:tc>
          <w:tcPr>
            <w:tcW w:w="1194" w:type="dxa"/>
            <w:tcBorders>
              <w:top w:val="nil"/>
              <w:left w:val="single" w:sz="4" w:space="0" w:color="auto"/>
              <w:bottom w:val="single" w:sz="4" w:space="0" w:color="auto"/>
              <w:right w:val="single" w:sz="4" w:space="0" w:color="auto"/>
            </w:tcBorders>
            <w:shd w:val="clear" w:color="auto" w:fill="auto"/>
            <w:noWrap/>
            <w:hideMark/>
          </w:tcPr>
          <w:p w:rsidR="00602F2F" w:rsidRPr="00AB210E" w:rsidRDefault="00602F2F" w:rsidP="00E62D4E">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Policy</w:t>
            </w:r>
          </w:p>
        </w:tc>
        <w:tc>
          <w:tcPr>
            <w:tcW w:w="13341" w:type="dxa"/>
            <w:gridSpan w:val="8"/>
            <w:tcBorders>
              <w:top w:val="single" w:sz="4" w:space="0" w:color="auto"/>
              <w:left w:val="nil"/>
              <w:bottom w:val="single" w:sz="4" w:space="0" w:color="auto"/>
              <w:right w:val="single" w:sz="4" w:space="0" w:color="auto"/>
            </w:tcBorders>
            <w:shd w:val="clear" w:color="auto" w:fill="auto"/>
            <w:hideMark/>
          </w:tcPr>
          <w:p w:rsidR="00602F2F" w:rsidRPr="00AB210E" w:rsidRDefault="00104318" w:rsidP="00E62D4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This matter involves issues that carry public interest, consequently, guidance by state or federal regulators are needed before</w:t>
            </w:r>
            <w:r w:rsidR="00602F2F" w:rsidRPr="00AB210E">
              <w:rPr>
                <w:rFonts w:ascii="Times New Roman" w:eastAsia="Times New Roman" w:hAnsi="Times New Roman" w:cs="Times New Roman"/>
                <w:color w:val="000000"/>
                <w:sz w:val="20"/>
                <w:szCs w:val="20"/>
              </w:rPr>
              <w:t xml:space="preserve"> standards development (e.g., relative rights among parties)</w:t>
            </w:r>
            <w:r>
              <w:rPr>
                <w:rFonts w:ascii="Times New Roman" w:eastAsia="Times New Roman" w:hAnsi="Times New Roman" w:cs="Times New Roman"/>
                <w:color w:val="000000"/>
                <w:sz w:val="20"/>
                <w:szCs w:val="20"/>
              </w:rPr>
              <w:t xml:space="preserve"> can be considered.</w:t>
            </w:r>
          </w:p>
        </w:tc>
      </w:tr>
      <w:tr w:rsidR="00602F2F" w:rsidRPr="00AB210E" w:rsidTr="00104318">
        <w:trPr>
          <w:trHeight w:val="260"/>
          <w:jc w:val="right"/>
        </w:trPr>
        <w:tc>
          <w:tcPr>
            <w:tcW w:w="1194" w:type="dxa"/>
            <w:tcBorders>
              <w:top w:val="nil"/>
              <w:left w:val="single" w:sz="4" w:space="0" w:color="auto"/>
              <w:bottom w:val="single" w:sz="4" w:space="0" w:color="auto"/>
              <w:right w:val="single" w:sz="4" w:space="0" w:color="auto"/>
            </w:tcBorders>
            <w:shd w:val="clear" w:color="auto" w:fill="auto"/>
            <w:noWrap/>
            <w:hideMark/>
          </w:tcPr>
          <w:p w:rsidR="00602F2F" w:rsidRPr="00AB210E" w:rsidRDefault="00104318" w:rsidP="00E62D4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Commercial</w:t>
            </w:r>
          </w:p>
        </w:tc>
        <w:tc>
          <w:tcPr>
            <w:tcW w:w="13341" w:type="dxa"/>
            <w:gridSpan w:val="8"/>
            <w:tcBorders>
              <w:top w:val="single" w:sz="4" w:space="0" w:color="auto"/>
              <w:left w:val="nil"/>
              <w:bottom w:val="single" w:sz="4" w:space="0" w:color="auto"/>
              <w:right w:val="single" w:sz="4" w:space="0" w:color="auto"/>
            </w:tcBorders>
            <w:shd w:val="clear" w:color="auto" w:fill="auto"/>
            <w:hideMark/>
          </w:tcPr>
          <w:p w:rsidR="00602F2F" w:rsidRPr="00AB210E" w:rsidRDefault="00602F2F" w:rsidP="00E62D4E">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Two</w:t>
            </w:r>
            <w:r w:rsidR="00104318">
              <w:rPr>
                <w:rFonts w:ascii="Times New Roman" w:eastAsia="Times New Roman" w:hAnsi="Times New Roman" w:cs="Times New Roman"/>
                <w:color w:val="000000"/>
                <w:sz w:val="20"/>
                <w:szCs w:val="20"/>
              </w:rPr>
              <w:t xml:space="preserve"> or more</w:t>
            </w:r>
            <w:r w:rsidRPr="00AB210E">
              <w:rPr>
                <w:rFonts w:ascii="Times New Roman" w:eastAsia="Times New Roman" w:hAnsi="Times New Roman" w:cs="Times New Roman"/>
                <w:color w:val="000000"/>
                <w:sz w:val="20"/>
                <w:szCs w:val="20"/>
              </w:rPr>
              <w:t xml:space="preserve"> parties </w:t>
            </w:r>
            <w:r w:rsidR="00104318">
              <w:rPr>
                <w:rFonts w:ascii="Times New Roman" w:eastAsia="Times New Roman" w:hAnsi="Times New Roman" w:cs="Times New Roman"/>
                <w:color w:val="000000"/>
                <w:sz w:val="20"/>
                <w:szCs w:val="20"/>
              </w:rPr>
              <w:t>can</w:t>
            </w:r>
            <w:r w:rsidRPr="00AB210E">
              <w:rPr>
                <w:rFonts w:ascii="Times New Roman" w:eastAsia="Times New Roman" w:hAnsi="Times New Roman" w:cs="Times New Roman"/>
                <w:color w:val="000000"/>
                <w:sz w:val="20"/>
                <w:szCs w:val="20"/>
              </w:rPr>
              <w:t xml:space="preserve"> establish an arrangement/product/service</w:t>
            </w:r>
            <w:r w:rsidR="00104318">
              <w:rPr>
                <w:rFonts w:ascii="Times New Roman" w:eastAsia="Times New Roman" w:hAnsi="Times New Roman" w:cs="Times New Roman"/>
                <w:color w:val="000000"/>
                <w:sz w:val="20"/>
                <w:szCs w:val="20"/>
              </w:rPr>
              <w:t>/market rule which may require regulatory approval.</w:t>
            </w:r>
          </w:p>
        </w:tc>
      </w:tr>
      <w:tr w:rsidR="00602F2F" w:rsidRPr="00AB210E" w:rsidTr="00104318">
        <w:trPr>
          <w:trHeight w:val="260"/>
          <w:jc w:val="right"/>
        </w:trPr>
        <w:tc>
          <w:tcPr>
            <w:tcW w:w="1194" w:type="dxa"/>
            <w:tcBorders>
              <w:top w:val="nil"/>
              <w:left w:val="single" w:sz="4" w:space="0" w:color="auto"/>
              <w:bottom w:val="single" w:sz="4" w:space="0" w:color="auto"/>
              <w:right w:val="single" w:sz="4" w:space="0" w:color="auto"/>
            </w:tcBorders>
            <w:shd w:val="clear" w:color="auto" w:fill="auto"/>
            <w:noWrap/>
            <w:hideMark/>
          </w:tcPr>
          <w:p w:rsidR="00602F2F" w:rsidRPr="00AB210E" w:rsidRDefault="00602F2F" w:rsidP="00E62D4E">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Standards</w:t>
            </w:r>
          </w:p>
        </w:tc>
        <w:tc>
          <w:tcPr>
            <w:tcW w:w="13341" w:type="dxa"/>
            <w:gridSpan w:val="8"/>
            <w:tcBorders>
              <w:top w:val="single" w:sz="4" w:space="0" w:color="auto"/>
              <w:left w:val="nil"/>
              <w:bottom w:val="single" w:sz="4" w:space="0" w:color="auto"/>
              <w:right w:val="single" w:sz="4" w:space="0" w:color="auto"/>
            </w:tcBorders>
            <w:shd w:val="clear" w:color="auto" w:fill="auto"/>
            <w:hideMark/>
          </w:tcPr>
          <w:p w:rsidR="00602F2F" w:rsidRPr="00AB210E" w:rsidRDefault="00250E2C" w:rsidP="00E62D4E">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Where existing policy permits, a</w:t>
            </w:r>
            <w:r w:rsidR="00602F2F" w:rsidRPr="00AB210E">
              <w:rPr>
                <w:rFonts w:ascii="Times New Roman" w:eastAsia="Times New Roman" w:hAnsi="Times New Roman" w:cs="Times New Roman"/>
                <w:color w:val="000000"/>
                <w:sz w:val="20"/>
                <w:szCs w:val="20"/>
              </w:rPr>
              <w:t xml:space="preserve"> recognized standards</w:t>
            </w:r>
            <w:r w:rsidR="006101DC">
              <w:rPr>
                <w:rFonts w:ascii="Times New Roman" w:eastAsia="Times New Roman" w:hAnsi="Times New Roman" w:cs="Times New Roman"/>
                <w:color w:val="000000"/>
                <w:sz w:val="20"/>
                <w:szCs w:val="20"/>
              </w:rPr>
              <w:t xml:space="preserve"> </w:t>
            </w:r>
            <w:r w:rsidR="00602F2F" w:rsidRPr="00AB210E">
              <w:rPr>
                <w:rFonts w:ascii="Times New Roman" w:eastAsia="Times New Roman" w:hAnsi="Times New Roman" w:cs="Times New Roman"/>
                <w:color w:val="000000"/>
                <w:sz w:val="20"/>
                <w:szCs w:val="20"/>
              </w:rPr>
              <w:t>development organization needs to set up a standard for adoption by one or more of the industries</w:t>
            </w:r>
            <w:r>
              <w:rPr>
                <w:rFonts w:ascii="Times New Roman" w:eastAsia="Times New Roman" w:hAnsi="Times New Roman" w:cs="Times New Roman"/>
                <w:color w:val="000000"/>
                <w:sz w:val="20"/>
                <w:szCs w:val="20"/>
              </w:rPr>
              <w:t>.  Where such is not possible because of outstanding policy questions, guidance from state or federal regulators should be sought.</w:t>
            </w:r>
          </w:p>
        </w:tc>
      </w:tr>
      <w:tr w:rsidR="00602F2F" w:rsidRPr="00AB210E" w:rsidTr="00602F2F">
        <w:trPr>
          <w:trHeight w:val="255"/>
          <w:jc w:val="right"/>
        </w:trPr>
        <w:tc>
          <w:tcPr>
            <w:tcW w:w="1194" w:type="dxa"/>
            <w:tcBorders>
              <w:top w:val="nil"/>
              <w:left w:val="single" w:sz="4" w:space="0" w:color="auto"/>
              <w:bottom w:val="single" w:sz="4" w:space="0" w:color="auto"/>
              <w:right w:val="single" w:sz="4" w:space="0" w:color="auto"/>
            </w:tcBorders>
            <w:shd w:val="clear" w:color="auto" w:fill="auto"/>
            <w:noWrap/>
            <w:hideMark/>
          </w:tcPr>
          <w:p w:rsidR="00602F2F" w:rsidRPr="00AB210E" w:rsidRDefault="00602F2F" w:rsidP="00E62D4E">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Regional</w:t>
            </w:r>
          </w:p>
        </w:tc>
        <w:tc>
          <w:tcPr>
            <w:tcW w:w="13341" w:type="dxa"/>
            <w:gridSpan w:val="8"/>
            <w:tcBorders>
              <w:top w:val="single" w:sz="4" w:space="0" w:color="auto"/>
              <w:left w:val="nil"/>
              <w:bottom w:val="single" w:sz="4" w:space="0" w:color="auto"/>
              <w:right w:val="single" w:sz="4" w:space="0" w:color="auto"/>
            </w:tcBorders>
            <w:shd w:val="clear" w:color="auto" w:fill="auto"/>
            <w:hideMark/>
          </w:tcPr>
          <w:p w:rsidR="00602F2F" w:rsidRPr="00AB210E" w:rsidRDefault="00602F2F" w:rsidP="00E62D4E">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The issue varies from one region to another.</w:t>
            </w:r>
          </w:p>
        </w:tc>
      </w:tr>
      <w:tr w:rsidR="00602F2F" w:rsidRPr="00AB210E" w:rsidTr="00104318">
        <w:trPr>
          <w:trHeight w:val="449"/>
          <w:jc w:val="right"/>
        </w:trPr>
        <w:tc>
          <w:tcPr>
            <w:tcW w:w="1194" w:type="dxa"/>
            <w:tcBorders>
              <w:top w:val="nil"/>
              <w:left w:val="single" w:sz="4" w:space="0" w:color="auto"/>
              <w:bottom w:val="single" w:sz="4" w:space="0" w:color="auto"/>
              <w:right w:val="single" w:sz="4" w:space="0" w:color="auto"/>
            </w:tcBorders>
            <w:shd w:val="clear" w:color="auto" w:fill="auto"/>
            <w:noWrap/>
            <w:hideMark/>
          </w:tcPr>
          <w:p w:rsidR="00602F2F" w:rsidRPr="00AB210E" w:rsidRDefault="00602F2F" w:rsidP="00E62D4E">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Technology</w:t>
            </w:r>
          </w:p>
        </w:tc>
        <w:tc>
          <w:tcPr>
            <w:tcW w:w="13341" w:type="dxa"/>
            <w:gridSpan w:val="8"/>
            <w:tcBorders>
              <w:top w:val="single" w:sz="4" w:space="0" w:color="auto"/>
              <w:left w:val="nil"/>
              <w:bottom w:val="single" w:sz="4" w:space="0" w:color="auto"/>
              <w:right w:val="single" w:sz="4" w:space="0" w:color="auto"/>
            </w:tcBorders>
            <w:shd w:val="clear" w:color="auto" w:fill="auto"/>
            <w:hideMark/>
          </w:tcPr>
          <w:p w:rsidR="00602F2F" w:rsidRPr="00AB210E" w:rsidRDefault="00602F2F" w:rsidP="00E62D4E">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Is there a technology component (e.g., can it be done now with existing technology, even if it's not widely deployed? Does it need additional tech development?</w:t>
            </w:r>
          </w:p>
        </w:tc>
      </w:tr>
      <w:tr w:rsidR="00602F2F" w:rsidRPr="00AB210E" w:rsidTr="00104318">
        <w:trPr>
          <w:trHeight w:val="251"/>
          <w:jc w:val="right"/>
        </w:trPr>
        <w:tc>
          <w:tcPr>
            <w:tcW w:w="1194" w:type="dxa"/>
            <w:tcBorders>
              <w:top w:val="nil"/>
              <w:left w:val="single" w:sz="4" w:space="0" w:color="auto"/>
              <w:bottom w:val="single" w:sz="4" w:space="0" w:color="auto"/>
              <w:right w:val="single" w:sz="4" w:space="0" w:color="auto"/>
            </w:tcBorders>
            <w:shd w:val="clear" w:color="auto" w:fill="auto"/>
            <w:noWrap/>
            <w:hideMark/>
          </w:tcPr>
          <w:p w:rsidR="00602F2F" w:rsidRPr="00AB210E" w:rsidRDefault="00602F2F" w:rsidP="00E62D4E">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xml:space="preserve">Analysis </w:t>
            </w:r>
          </w:p>
        </w:tc>
        <w:tc>
          <w:tcPr>
            <w:tcW w:w="13341" w:type="dxa"/>
            <w:gridSpan w:val="8"/>
            <w:tcBorders>
              <w:top w:val="single" w:sz="4" w:space="0" w:color="auto"/>
              <w:left w:val="nil"/>
              <w:bottom w:val="single" w:sz="4" w:space="0" w:color="auto"/>
              <w:right w:val="single" w:sz="4" w:space="0" w:color="auto"/>
            </w:tcBorders>
            <w:shd w:val="clear" w:color="auto" w:fill="auto"/>
            <w:hideMark/>
          </w:tcPr>
          <w:p w:rsidR="00602F2F" w:rsidRPr="00AB210E" w:rsidRDefault="00602F2F" w:rsidP="00E62D4E">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Analysis is needed to better understand the topic and its impact on the industry</w:t>
            </w:r>
          </w:p>
        </w:tc>
      </w:tr>
      <w:tr w:rsidR="00602F2F" w:rsidRPr="00AB210E" w:rsidTr="00602F2F">
        <w:trPr>
          <w:trHeight w:val="255"/>
          <w:jc w:val="right"/>
        </w:trPr>
        <w:tc>
          <w:tcPr>
            <w:tcW w:w="1194" w:type="dxa"/>
            <w:tcBorders>
              <w:top w:val="nil"/>
              <w:left w:val="single" w:sz="4" w:space="0" w:color="auto"/>
              <w:bottom w:val="single" w:sz="4" w:space="0" w:color="auto"/>
              <w:right w:val="single" w:sz="4" w:space="0" w:color="auto"/>
            </w:tcBorders>
            <w:shd w:val="clear" w:color="auto" w:fill="auto"/>
            <w:noWrap/>
            <w:hideMark/>
          </w:tcPr>
          <w:p w:rsidR="00602F2F" w:rsidRPr="00AB210E" w:rsidRDefault="00602F2F" w:rsidP="00E62D4E">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Observation</w:t>
            </w:r>
          </w:p>
        </w:tc>
        <w:tc>
          <w:tcPr>
            <w:tcW w:w="13341" w:type="dxa"/>
            <w:gridSpan w:val="8"/>
            <w:tcBorders>
              <w:top w:val="single" w:sz="4" w:space="0" w:color="auto"/>
              <w:left w:val="nil"/>
              <w:bottom w:val="single" w:sz="4" w:space="0" w:color="auto"/>
              <w:right w:val="single" w:sz="4" w:space="0" w:color="auto"/>
            </w:tcBorders>
            <w:shd w:val="clear" w:color="auto" w:fill="auto"/>
            <w:hideMark/>
          </w:tcPr>
          <w:p w:rsidR="00602F2F" w:rsidRPr="00AB210E" w:rsidRDefault="00602F2F" w:rsidP="00E62D4E">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Comment about the operations of one industry or another.</w:t>
            </w:r>
          </w:p>
        </w:tc>
      </w:tr>
      <w:tr w:rsidR="00602F2F" w:rsidRPr="00AB210E" w:rsidTr="00602F2F">
        <w:trPr>
          <w:trHeight w:val="135"/>
          <w:jc w:val="right"/>
        </w:trPr>
        <w:tc>
          <w:tcPr>
            <w:tcW w:w="1194" w:type="dxa"/>
            <w:tcBorders>
              <w:top w:val="nil"/>
              <w:left w:val="nil"/>
              <w:bottom w:val="nil"/>
              <w:right w:val="nil"/>
            </w:tcBorders>
            <w:shd w:val="clear" w:color="auto" w:fill="auto"/>
            <w:noWrap/>
            <w:vAlign w:val="bottom"/>
            <w:hideMark/>
          </w:tcPr>
          <w:p w:rsidR="00602F2F" w:rsidRPr="00AB210E" w:rsidRDefault="00602F2F" w:rsidP="00AB210E">
            <w:pPr>
              <w:spacing w:after="0" w:line="240" w:lineRule="auto"/>
              <w:rPr>
                <w:rFonts w:ascii="Times New Roman" w:eastAsia="Times New Roman" w:hAnsi="Times New Roman" w:cs="Times New Roman"/>
                <w:color w:val="000000"/>
                <w:sz w:val="20"/>
                <w:szCs w:val="20"/>
              </w:rPr>
            </w:pPr>
          </w:p>
        </w:tc>
        <w:tc>
          <w:tcPr>
            <w:tcW w:w="5956" w:type="dxa"/>
            <w:tcBorders>
              <w:top w:val="nil"/>
              <w:left w:val="nil"/>
              <w:bottom w:val="nil"/>
              <w:right w:val="nil"/>
            </w:tcBorders>
            <w:shd w:val="clear" w:color="auto" w:fill="auto"/>
            <w:vAlign w:val="bottom"/>
            <w:hideMark/>
          </w:tcPr>
          <w:p w:rsidR="00602F2F" w:rsidRPr="00AB210E" w:rsidRDefault="00602F2F" w:rsidP="00AB210E">
            <w:pPr>
              <w:spacing w:after="0" w:line="240" w:lineRule="auto"/>
              <w:rPr>
                <w:rFonts w:ascii="Times New Roman" w:eastAsia="Times New Roman" w:hAnsi="Times New Roman" w:cs="Times New Roman"/>
                <w:color w:val="000000"/>
                <w:sz w:val="20"/>
                <w:szCs w:val="20"/>
              </w:rPr>
            </w:pPr>
          </w:p>
        </w:tc>
        <w:tc>
          <w:tcPr>
            <w:tcW w:w="888" w:type="dxa"/>
            <w:tcBorders>
              <w:top w:val="nil"/>
              <w:left w:val="nil"/>
              <w:bottom w:val="nil"/>
              <w:right w:val="nil"/>
            </w:tcBorders>
            <w:shd w:val="clear" w:color="auto" w:fill="auto"/>
            <w:vAlign w:val="bottom"/>
            <w:hideMark/>
          </w:tcPr>
          <w:p w:rsidR="00602F2F" w:rsidRPr="00AB210E" w:rsidRDefault="00602F2F" w:rsidP="00AB210E">
            <w:pPr>
              <w:spacing w:after="0" w:line="240" w:lineRule="auto"/>
              <w:rPr>
                <w:rFonts w:ascii="Times New Roman" w:eastAsia="Times New Roman" w:hAnsi="Times New Roman" w:cs="Times New Roman"/>
                <w:color w:val="000000"/>
                <w:sz w:val="20"/>
                <w:szCs w:val="20"/>
              </w:rPr>
            </w:pPr>
          </w:p>
        </w:tc>
        <w:tc>
          <w:tcPr>
            <w:tcW w:w="990" w:type="dxa"/>
            <w:tcBorders>
              <w:top w:val="nil"/>
              <w:left w:val="nil"/>
              <w:bottom w:val="nil"/>
              <w:right w:val="nil"/>
            </w:tcBorders>
            <w:shd w:val="clear" w:color="auto" w:fill="auto"/>
            <w:vAlign w:val="bottom"/>
            <w:hideMark/>
          </w:tcPr>
          <w:p w:rsidR="00602F2F" w:rsidRPr="00AB210E" w:rsidRDefault="00602F2F" w:rsidP="00AB210E">
            <w:pPr>
              <w:spacing w:after="0" w:line="240" w:lineRule="auto"/>
              <w:rPr>
                <w:rFonts w:ascii="Times New Roman" w:eastAsia="Times New Roman" w:hAnsi="Times New Roman" w:cs="Times New Roman"/>
                <w:color w:val="000000"/>
                <w:sz w:val="20"/>
                <w:szCs w:val="20"/>
              </w:rPr>
            </w:pPr>
          </w:p>
        </w:tc>
        <w:tc>
          <w:tcPr>
            <w:tcW w:w="1005" w:type="dxa"/>
            <w:tcBorders>
              <w:top w:val="nil"/>
              <w:left w:val="nil"/>
              <w:bottom w:val="nil"/>
              <w:right w:val="nil"/>
            </w:tcBorders>
            <w:shd w:val="clear" w:color="auto" w:fill="auto"/>
            <w:vAlign w:val="bottom"/>
            <w:hideMark/>
          </w:tcPr>
          <w:p w:rsidR="00602F2F" w:rsidRPr="00AB210E" w:rsidRDefault="00602F2F" w:rsidP="00AB210E">
            <w:pPr>
              <w:spacing w:after="0" w:line="240" w:lineRule="auto"/>
              <w:rPr>
                <w:rFonts w:ascii="Times New Roman" w:eastAsia="Times New Roman" w:hAnsi="Times New Roman" w:cs="Times New Roman"/>
                <w:color w:val="000000"/>
                <w:sz w:val="20"/>
                <w:szCs w:val="20"/>
              </w:rPr>
            </w:pPr>
          </w:p>
        </w:tc>
        <w:tc>
          <w:tcPr>
            <w:tcW w:w="1080" w:type="dxa"/>
            <w:tcBorders>
              <w:top w:val="nil"/>
              <w:left w:val="nil"/>
              <w:bottom w:val="nil"/>
              <w:right w:val="nil"/>
            </w:tcBorders>
            <w:shd w:val="clear" w:color="auto" w:fill="auto"/>
            <w:vAlign w:val="bottom"/>
            <w:hideMark/>
          </w:tcPr>
          <w:p w:rsidR="00602F2F" w:rsidRPr="00AB210E" w:rsidRDefault="00602F2F" w:rsidP="00AB210E">
            <w:pPr>
              <w:spacing w:after="0" w:line="240" w:lineRule="auto"/>
              <w:rPr>
                <w:rFonts w:ascii="Times New Roman" w:eastAsia="Times New Roman" w:hAnsi="Times New Roman" w:cs="Times New Roman"/>
                <w:color w:val="000000"/>
                <w:sz w:val="20"/>
                <w:szCs w:val="20"/>
              </w:rPr>
            </w:pPr>
          </w:p>
        </w:tc>
        <w:tc>
          <w:tcPr>
            <w:tcW w:w="1172" w:type="dxa"/>
            <w:tcBorders>
              <w:top w:val="nil"/>
              <w:left w:val="nil"/>
              <w:bottom w:val="nil"/>
              <w:right w:val="nil"/>
            </w:tcBorders>
            <w:shd w:val="clear" w:color="auto" w:fill="auto"/>
            <w:vAlign w:val="bottom"/>
            <w:hideMark/>
          </w:tcPr>
          <w:p w:rsidR="00602F2F" w:rsidRPr="00AB210E" w:rsidRDefault="00602F2F" w:rsidP="00AB210E">
            <w:pPr>
              <w:spacing w:after="0" w:line="240" w:lineRule="auto"/>
              <w:rPr>
                <w:rFonts w:ascii="Times New Roman" w:eastAsia="Times New Roman" w:hAnsi="Times New Roman" w:cs="Times New Roman"/>
                <w:color w:val="000000"/>
                <w:sz w:val="20"/>
                <w:szCs w:val="20"/>
              </w:rPr>
            </w:pPr>
          </w:p>
        </w:tc>
        <w:tc>
          <w:tcPr>
            <w:tcW w:w="990" w:type="dxa"/>
            <w:tcBorders>
              <w:top w:val="nil"/>
              <w:left w:val="nil"/>
              <w:bottom w:val="nil"/>
              <w:right w:val="nil"/>
            </w:tcBorders>
            <w:shd w:val="clear" w:color="auto" w:fill="auto"/>
            <w:vAlign w:val="bottom"/>
            <w:hideMark/>
          </w:tcPr>
          <w:p w:rsidR="00602F2F" w:rsidRPr="00AB210E" w:rsidRDefault="00602F2F" w:rsidP="00AB210E">
            <w:pPr>
              <w:spacing w:after="0" w:line="240" w:lineRule="auto"/>
              <w:rPr>
                <w:rFonts w:ascii="Times New Roman" w:eastAsia="Times New Roman" w:hAnsi="Times New Roman" w:cs="Times New Roman"/>
                <w:color w:val="000000"/>
                <w:sz w:val="20"/>
                <w:szCs w:val="20"/>
              </w:rPr>
            </w:pPr>
          </w:p>
        </w:tc>
        <w:tc>
          <w:tcPr>
            <w:tcW w:w="1260" w:type="dxa"/>
            <w:tcBorders>
              <w:top w:val="nil"/>
              <w:left w:val="nil"/>
              <w:bottom w:val="nil"/>
              <w:right w:val="nil"/>
            </w:tcBorders>
            <w:shd w:val="clear" w:color="auto" w:fill="auto"/>
            <w:vAlign w:val="bottom"/>
            <w:hideMark/>
          </w:tcPr>
          <w:p w:rsidR="00602F2F" w:rsidRPr="00AB210E" w:rsidRDefault="00602F2F" w:rsidP="00AB210E">
            <w:pPr>
              <w:spacing w:after="0" w:line="240" w:lineRule="auto"/>
              <w:rPr>
                <w:rFonts w:ascii="Times New Roman" w:eastAsia="Times New Roman" w:hAnsi="Times New Roman" w:cs="Times New Roman"/>
                <w:color w:val="000000"/>
                <w:sz w:val="20"/>
                <w:szCs w:val="20"/>
              </w:rPr>
            </w:pPr>
          </w:p>
        </w:tc>
      </w:tr>
    </w:tbl>
    <w:p w:rsidR="00602F2F" w:rsidRDefault="00602F2F">
      <w:r>
        <w:br w:type="page"/>
      </w:r>
    </w:p>
    <w:tbl>
      <w:tblPr>
        <w:tblW w:w="14535" w:type="dxa"/>
        <w:jc w:val="right"/>
        <w:tblLook w:val="04A0" w:firstRow="1" w:lastRow="0" w:firstColumn="1" w:lastColumn="0" w:noHBand="0" w:noVBand="1"/>
      </w:tblPr>
      <w:tblGrid>
        <w:gridCol w:w="1194"/>
        <w:gridCol w:w="5956"/>
        <w:gridCol w:w="888"/>
        <w:gridCol w:w="990"/>
        <w:gridCol w:w="1005"/>
        <w:gridCol w:w="1080"/>
        <w:gridCol w:w="1172"/>
        <w:gridCol w:w="990"/>
        <w:gridCol w:w="1260"/>
      </w:tblGrid>
      <w:tr w:rsidR="00DC6716" w:rsidRPr="00AB210E" w:rsidTr="00E62D4E">
        <w:trPr>
          <w:trHeight w:val="90"/>
          <w:tblHeader/>
          <w:jc w:val="right"/>
        </w:trPr>
        <w:tc>
          <w:tcPr>
            <w:tcW w:w="14535" w:type="dxa"/>
            <w:gridSpan w:val="9"/>
            <w:tcBorders>
              <w:top w:val="nil"/>
              <w:left w:val="nil"/>
              <w:bottom w:val="nil"/>
              <w:right w:val="nil"/>
            </w:tcBorders>
            <w:shd w:val="clear" w:color="auto" w:fill="auto"/>
            <w:noWrap/>
            <w:vAlign w:val="bottom"/>
            <w:hideMark/>
          </w:tcPr>
          <w:p w:rsidR="00DC6716" w:rsidRPr="002D17A6" w:rsidRDefault="00DC6716" w:rsidP="002D17A6">
            <w:pPr>
              <w:spacing w:before="240" w:after="240" w:line="240" w:lineRule="auto"/>
              <w:jc w:val="center"/>
              <w:rPr>
                <w:rFonts w:ascii="Times New Roman" w:eastAsia="Times New Roman" w:hAnsi="Times New Roman" w:cs="Times New Roman"/>
                <w:b/>
                <w:color w:val="000000"/>
                <w:sz w:val="20"/>
                <w:szCs w:val="20"/>
              </w:rPr>
            </w:pPr>
            <w:r w:rsidRPr="002D17A6">
              <w:rPr>
                <w:rFonts w:ascii="Times New Roman" w:eastAsia="Times New Roman" w:hAnsi="Times New Roman" w:cs="Times New Roman"/>
                <w:b/>
                <w:color w:val="000000"/>
                <w:sz w:val="20"/>
                <w:szCs w:val="20"/>
              </w:rPr>
              <w:lastRenderedPageBreak/>
              <w:t xml:space="preserve">NAESB GEH Committee </w:t>
            </w:r>
            <w:r w:rsidR="002D17A6" w:rsidRPr="002D17A6">
              <w:rPr>
                <w:rFonts w:ascii="Times New Roman" w:eastAsia="Times New Roman" w:hAnsi="Times New Roman" w:cs="Times New Roman"/>
                <w:b/>
                <w:color w:val="000000"/>
                <w:sz w:val="20"/>
                <w:szCs w:val="20"/>
              </w:rPr>
              <w:t>Matrix of Observations</w:t>
            </w:r>
            <w:r w:rsidRPr="002D17A6">
              <w:rPr>
                <w:rFonts w:ascii="Times New Roman" w:eastAsia="Times New Roman" w:hAnsi="Times New Roman" w:cs="Times New Roman"/>
                <w:b/>
                <w:color w:val="000000"/>
                <w:sz w:val="20"/>
                <w:szCs w:val="20"/>
              </w:rPr>
              <w:t xml:space="preserve"> – April 24, 2012</w:t>
            </w:r>
          </w:p>
        </w:tc>
      </w:tr>
      <w:tr w:rsidR="00602F2F" w:rsidRPr="00AB210E" w:rsidTr="00602F2F">
        <w:trPr>
          <w:trHeight w:val="510"/>
          <w:tblHeader/>
          <w:jc w:val="right"/>
        </w:trPr>
        <w:tc>
          <w:tcPr>
            <w:tcW w:w="1194" w:type="dxa"/>
            <w:tcBorders>
              <w:top w:val="nil"/>
              <w:left w:val="nil"/>
              <w:bottom w:val="single" w:sz="4" w:space="0" w:color="auto"/>
              <w:right w:val="nil"/>
            </w:tcBorders>
            <w:shd w:val="clear" w:color="auto" w:fill="auto"/>
            <w:noWrap/>
            <w:vAlign w:val="bottom"/>
            <w:hideMark/>
          </w:tcPr>
          <w:p w:rsidR="00602F2F" w:rsidRPr="00AB210E" w:rsidRDefault="00602F2F" w:rsidP="002D17A6">
            <w:pPr>
              <w:spacing w:before="120" w:after="120" w:line="240" w:lineRule="auto"/>
              <w:rPr>
                <w:rFonts w:ascii="Times New Roman" w:eastAsia="Times New Roman" w:hAnsi="Times New Roman" w:cs="Times New Roman"/>
                <w:color w:val="000000"/>
                <w:sz w:val="20"/>
                <w:szCs w:val="20"/>
              </w:rPr>
            </w:pPr>
          </w:p>
        </w:tc>
        <w:tc>
          <w:tcPr>
            <w:tcW w:w="5956" w:type="dxa"/>
            <w:tcBorders>
              <w:top w:val="nil"/>
              <w:left w:val="nil"/>
              <w:bottom w:val="single" w:sz="4" w:space="0" w:color="auto"/>
              <w:right w:val="nil"/>
            </w:tcBorders>
            <w:shd w:val="clear" w:color="auto" w:fill="auto"/>
            <w:vAlign w:val="bottom"/>
            <w:hideMark/>
          </w:tcPr>
          <w:p w:rsidR="00602F2F" w:rsidRPr="00AB210E" w:rsidRDefault="00602F2F" w:rsidP="002D17A6">
            <w:pPr>
              <w:spacing w:before="120" w:after="120" w:line="240" w:lineRule="auto"/>
              <w:rPr>
                <w:rFonts w:ascii="Times New Roman" w:eastAsia="Times New Roman" w:hAnsi="Times New Roman" w:cs="Times New Roman"/>
                <w:color w:val="000000"/>
                <w:sz w:val="20"/>
                <w:szCs w:val="20"/>
              </w:rPr>
            </w:pP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2F2F" w:rsidRPr="00AB210E" w:rsidRDefault="00602F2F"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Policy</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602F2F" w:rsidRPr="00AB210E" w:rsidRDefault="00602F2F"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Bilateral</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rsidR="00602F2F" w:rsidRPr="00AB210E" w:rsidRDefault="00602F2F"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Standards</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602F2F" w:rsidRPr="00AB210E" w:rsidRDefault="00602F2F"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Regional</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rsidR="00602F2F" w:rsidRPr="00AB210E" w:rsidRDefault="00602F2F"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Technology</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602F2F" w:rsidRPr="00AB210E" w:rsidRDefault="00602F2F"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Analysis Needed</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602F2F" w:rsidRPr="00AB210E" w:rsidRDefault="00602F2F"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Mainly an observation</w:t>
            </w:r>
          </w:p>
        </w:tc>
      </w:tr>
      <w:tr w:rsidR="0048679D" w:rsidRPr="00AB210E" w:rsidTr="00E62D4E">
        <w:trPr>
          <w:trHeight w:val="630"/>
          <w:jc w:val="right"/>
        </w:trPr>
        <w:tc>
          <w:tcPr>
            <w:tcW w:w="14535" w:type="dxa"/>
            <w:gridSpan w:val="9"/>
            <w:tcBorders>
              <w:top w:val="single" w:sz="4" w:space="0" w:color="auto"/>
              <w:left w:val="single" w:sz="4" w:space="0" w:color="auto"/>
              <w:bottom w:val="single" w:sz="4" w:space="0" w:color="auto"/>
              <w:right w:val="single" w:sz="4" w:space="0" w:color="auto"/>
            </w:tcBorders>
            <w:shd w:val="clear" w:color="auto" w:fill="auto"/>
            <w:noWrap/>
          </w:tcPr>
          <w:p w:rsidR="0048679D" w:rsidRDefault="0048679D" w:rsidP="002D17A6">
            <w:pPr>
              <w:pStyle w:val="Title"/>
              <w:spacing w:before="120" w:after="120"/>
              <w:jc w:val="left"/>
              <w:rPr>
                <w:rFonts w:ascii="Times New Roman" w:hAnsi="Times New Roman"/>
                <w:smallCaps/>
                <w:sz w:val="20"/>
              </w:rPr>
            </w:pPr>
            <w:r>
              <w:rPr>
                <w:rFonts w:ascii="Times New Roman" w:hAnsi="Times New Roman"/>
                <w:smallCaps/>
                <w:sz w:val="20"/>
              </w:rPr>
              <w:t>1.  Observations and Core Issues as of April 24, 2012:</w:t>
            </w:r>
          </w:p>
          <w:p w:rsidR="0048679D" w:rsidRPr="002D17A6" w:rsidRDefault="0048679D" w:rsidP="002D17A6">
            <w:pPr>
              <w:spacing w:before="120" w:after="120" w:line="240" w:lineRule="auto"/>
              <w:rPr>
                <w:rFonts w:ascii="Times New Roman" w:eastAsia="Times New Roman" w:hAnsi="Times New Roman" w:cs="Times New Roman"/>
                <w:b/>
                <w:color w:val="000000"/>
                <w:sz w:val="20"/>
                <w:szCs w:val="20"/>
              </w:rPr>
            </w:pPr>
            <w:r w:rsidRPr="002D17A6">
              <w:rPr>
                <w:rFonts w:ascii="Times New Roman" w:hAnsi="Times New Roman" w:cs="Times New Roman"/>
                <w:sz w:val="20"/>
                <w:szCs w:val="20"/>
              </w:rPr>
              <w:t>Scheduling and other inconsistencies in the interactions of the two markets impact the effectiveness of providing gas and electric service.</w:t>
            </w:r>
          </w:p>
          <w:p w:rsidR="002D17A6" w:rsidRPr="002D17A6" w:rsidRDefault="002D17A6" w:rsidP="002D17A6">
            <w:pPr>
              <w:spacing w:after="120" w:line="240" w:lineRule="auto"/>
              <w:contextualSpacing/>
              <w:rPr>
                <w:rFonts w:ascii="Times New Roman" w:hAnsi="Times New Roman" w:cs="Times New Roman"/>
                <w:bCs/>
                <w:color w:val="000000"/>
                <w:sz w:val="20"/>
                <w:szCs w:val="20"/>
              </w:rPr>
            </w:pPr>
            <w:r w:rsidRPr="002D17A6">
              <w:rPr>
                <w:rFonts w:ascii="Times New Roman" w:hAnsi="Times New Roman" w:cs="Times New Roman"/>
                <w:bCs/>
                <w:color w:val="000000"/>
                <w:sz w:val="20"/>
                <w:szCs w:val="20"/>
              </w:rPr>
              <w:t xml:space="preserve">Core Issue: Should NAESB examine: </w:t>
            </w:r>
          </w:p>
          <w:p w:rsidR="0048679D" w:rsidRPr="0048679D" w:rsidRDefault="002D17A6" w:rsidP="002D17A6">
            <w:pPr>
              <w:pStyle w:val="ListParagraph"/>
              <w:numPr>
                <w:ilvl w:val="0"/>
                <w:numId w:val="2"/>
              </w:numPr>
              <w:spacing w:before="120" w:after="120" w:line="240" w:lineRule="auto"/>
              <w:ind w:left="369"/>
              <w:contextualSpacing w:val="0"/>
              <w:rPr>
                <w:rFonts w:ascii="Times New Roman" w:eastAsia="Times New Roman" w:hAnsi="Times New Roman" w:cs="Times New Roman"/>
                <w:color w:val="000000"/>
                <w:sz w:val="20"/>
                <w:szCs w:val="20"/>
              </w:rPr>
            </w:pPr>
            <w:r w:rsidRPr="002D17A6">
              <w:rPr>
                <w:rFonts w:ascii="Times New Roman" w:hAnsi="Times New Roman" w:cs="Times New Roman"/>
                <w:bCs/>
                <w:sz w:val="20"/>
                <w:szCs w:val="20"/>
              </w:rPr>
              <w:t>the gas and electric scheduling timelines to create more certainty and flexibility in s</w:t>
            </w:r>
            <w:bookmarkStart w:id="0" w:name="_GoBack"/>
            <w:bookmarkEnd w:id="0"/>
            <w:r w:rsidRPr="002D17A6">
              <w:rPr>
                <w:rFonts w:ascii="Times New Roman" w:hAnsi="Times New Roman" w:cs="Times New Roman"/>
                <w:bCs/>
                <w:sz w:val="20"/>
                <w:szCs w:val="20"/>
              </w:rPr>
              <w:t>cheduling, recognizing that providing flexibility in one area may take away flexibility in another.</w:t>
            </w:r>
          </w:p>
        </w:tc>
      </w:tr>
      <w:tr w:rsidR="00411012" w:rsidRPr="00AB210E" w:rsidTr="00602F2F">
        <w:trPr>
          <w:trHeight w:val="630"/>
          <w:jc w:val="right"/>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1-1</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For day-of operations, intraday nomination flexibility is key in contingency response, load following, and in backing up renewables.</w:t>
            </w:r>
          </w:p>
        </w:tc>
        <w:tc>
          <w:tcPr>
            <w:tcW w:w="888" w:type="dxa"/>
            <w:tcBorders>
              <w:top w:val="single" w:sz="4" w:space="0" w:color="auto"/>
              <w:left w:val="nil"/>
              <w:bottom w:val="single" w:sz="4" w:space="0" w:color="auto"/>
              <w:right w:val="single" w:sz="4" w:space="0" w:color="auto"/>
            </w:tcBorders>
            <w:shd w:val="clear" w:color="auto" w:fill="auto"/>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x</w:t>
            </w:r>
          </w:p>
        </w:tc>
      </w:tr>
      <w:tr w:rsidR="00411012" w:rsidRPr="00AB210E" w:rsidTr="00602F2F">
        <w:trPr>
          <w:trHeight w:val="1440"/>
          <w:jc w:val="right"/>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1-2</w:t>
            </w:r>
          </w:p>
        </w:tc>
        <w:tc>
          <w:tcPr>
            <w:tcW w:w="5956" w:type="dxa"/>
            <w:tcBorders>
              <w:top w:val="single" w:sz="4" w:space="0" w:color="auto"/>
              <w:left w:val="nil"/>
              <w:bottom w:val="single" w:sz="4" w:space="0" w:color="auto"/>
              <w:right w:val="nil"/>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b/>
                <w:color w:val="000000"/>
                <w:sz w:val="20"/>
                <w:szCs w:val="20"/>
              </w:rPr>
            </w:pPr>
            <w:r w:rsidRPr="000A5890">
              <w:rPr>
                <w:rFonts w:ascii="Times New Roman" w:eastAsia="Times New Roman" w:hAnsi="Times New Roman" w:cs="Times New Roman"/>
                <w:color w:val="000000"/>
                <w:sz w:val="20"/>
                <w:szCs w:val="20"/>
              </w:rPr>
              <w:t>As generation units sign up for firm transportation, the bumping rules in the tariff provisions may impede the benefit of holding firm gas transportation.  Added flexibility and types of gas transportation services may be needed by gas-fired power generators to meet the clearing and reliability requirements of the electric market.</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x</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602F2F">
        <w:trPr>
          <w:trHeight w:val="2730"/>
          <w:jc w:val="right"/>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1-3</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602F2F">
        <w:trPr>
          <w:trHeight w:val="1350"/>
          <w:jc w:val="right"/>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lastRenderedPageBreak/>
              <w:t>1-4</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Scheduling flexibility can be introduced on a pipeline by pipeline basis to the pipeline’s customers.  Natural gas market grid synchronization plays a role, as in multi-pipeline nominations which may cross multiple control areas, the least flexible pipeline in the chain of nominations will govern the timing of submittal and confirmation of transaction(s).</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602F2F">
        <w:trPr>
          <w:trHeight w:val="1605"/>
          <w:jc w:val="right"/>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rsidR="00411012" w:rsidRPr="000A5890" w:rsidRDefault="00411012" w:rsidP="002D17A6">
            <w:pPr>
              <w:keepNext/>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1-5</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If timelines were modified to reduce the gaps in the clearing of gas and electricity markets, a nine hour gap could be reduced to a one hour gap if the timelines were modified to an east and a west model.  This would be a considerable change to the timelines supported by the pipelines – with a focus on synchronizing the clearing times and the economic day for both markets.</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xml:space="preserve">x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602F2F">
        <w:trPr>
          <w:trHeight w:val="2955"/>
          <w:jc w:val="right"/>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1-6</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Significant differences in both natural gas and electric markets day-of service and day-ahead scheduling procedures could lead to separate considerations in drafting recommendations for the day ahead and the intra-day scheduling of energy.   .For example, the completion of the electric day ahead market (which is iterative and can take approximately four hours) could be synchronized with the natural gas timely nomination cycle for scheduling energy over a majority of the hours in the peak operating period of the electric day.  Added intra-day flexibility in both the electric market offers and gas scheduling might improve scheduling coordination for those hours that are not common to the same gas and electric delivery days.</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r>
      <w:tr w:rsidR="00411012" w:rsidRPr="00AB210E" w:rsidTr="00602F2F">
        <w:trPr>
          <w:trHeight w:val="1650"/>
          <w:jc w:val="right"/>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lastRenderedPageBreak/>
              <w:t>1-7</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The timely natural gas nomination process, which is iterative, can take from three to four hours.  The hourly or intraday gas nomination process is considerably shorter as is the adjustments and changes at the margin to the decisions made in support of the timely nomination process. In some cases, gas fired generators could need to make changes in their usage more quickly than the current nomination processes or services allow.</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xml:space="preserve">x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602F2F">
        <w:trPr>
          <w:trHeight w:val="4050"/>
          <w:jc w:val="right"/>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1-8</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 xml:space="preserve">There are a number of options offered by some pipelines that introduce flexibility through the use of hourly firm non-ratable takes.  Ratable takes are taken on a uniform hourly basis over the day. Non-ratable takes may be spread over a shorter period. </w:t>
            </w:r>
          </w:p>
          <w:p w:rsidR="00411012"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 xml:space="preserve">There is a tension between the timely/intraday nomination schedule as outlined in NAESB WGQ Standard No. 1.3.1 and the hourly flexibility provided by non-ratable deliveries on some pipelines and/or by use of hourly nominations, which comes into play when bumping is to be applied to preserve firm transportation service priority.  Following the schedule outlined in the NAESB standards, the interruptible transportation service may have already been used to deliver the volume by the time it is determined that bumping is to be enacted to provide firm service for hourly nominations. </w:t>
            </w:r>
          </w:p>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 xml:space="preserve"> A recent opinion issued in FERC RP11-2569-002, et al, (</w:t>
            </w:r>
            <w:hyperlink r:id="rId9" w:history="1">
              <w:r w:rsidRPr="000A5890">
                <w:rPr>
                  <w:rStyle w:val="Hyperlink"/>
                  <w:rFonts w:ascii="Times New Roman" w:eastAsia="Times New Roman" w:hAnsi="Times New Roman" w:cs="Times New Roman"/>
                  <w:sz w:val="20"/>
                  <w:szCs w:val="20"/>
                </w:rPr>
                <w:t>http://elibrary.ferc.gov/idmws/file_list.asp?accession_num=20120315-3006</w:t>
              </w:r>
            </w:hyperlink>
            <w:r w:rsidRPr="000A5890">
              <w:rPr>
                <w:rFonts w:ascii="Times New Roman" w:eastAsia="Times New Roman" w:hAnsi="Times New Roman" w:cs="Times New Roman"/>
                <w:color w:val="000000"/>
                <w:sz w:val="20"/>
                <w:szCs w:val="20"/>
              </w:rPr>
              <w:t>), provides some background for this observation.</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602F2F">
        <w:trPr>
          <w:trHeight w:val="1215"/>
          <w:jc w:val="right"/>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rsidR="00411012" w:rsidRPr="000A5890" w:rsidRDefault="00411012" w:rsidP="002D17A6">
            <w:pPr>
              <w:keepNext/>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lastRenderedPageBreak/>
              <w:t>1-9</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As more efficiencies and flexibility can be introduced into the scheduling for both markets, an outcome may be an increased market reliance on natural gas fired generation over other fuels used for electricity generation.</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r>
      <w:tr w:rsidR="00411012" w:rsidRPr="00AB210E" w:rsidTr="00602F2F">
        <w:trPr>
          <w:trHeight w:val="2745"/>
          <w:jc w:val="right"/>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1-10</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 xml:space="preserve">a) Incentives could be designed into the natural gas scheduling and confirmation process for a wholly electronic process that would require less time to complete than the existing process which includes communications that are not fully electronic.  (This could incorporate the thoughts in observation 1-2). </w:t>
            </w:r>
          </w:p>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b) If a fully electronic expedited process for natural gas nominations were implemented, it may be prudent to re-examine the bumping rules for the market participants who follow the fully electronic expedited process. The existing combination of manual and electronic process for natural gas nominations could exist as is.</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xml:space="preserve">x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602F2F">
        <w:trPr>
          <w:trHeight w:val="930"/>
          <w:jc w:val="right"/>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1-11</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Using natural gas-fired generation to back up renewables could require enhanced and additional flexibility in day-of nominations and/or no-notice service or similar services.</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r>
      <w:tr w:rsidR="00411012" w:rsidRPr="00AB210E" w:rsidTr="00602F2F">
        <w:trPr>
          <w:trHeight w:val="1140"/>
          <w:jc w:val="right"/>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1-12</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The transparency provided through posting of scheduling and capacity information by major non-interstate natural gas pipelines could be helpful, if the impact of the intrastates market on the interstate market is deemed significant.</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 [state]</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602F2F">
        <w:trPr>
          <w:trHeight w:val="495"/>
          <w:jc w:val="right"/>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1-13</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Deleted.  Added to Observation 1-8.</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602F2F" w:rsidRPr="00AB210E" w:rsidTr="00602F2F">
        <w:trPr>
          <w:trHeight w:val="120"/>
          <w:jc w:val="right"/>
        </w:trPr>
        <w:tc>
          <w:tcPr>
            <w:tcW w:w="1194" w:type="dxa"/>
            <w:tcBorders>
              <w:top w:val="single" w:sz="4" w:space="0" w:color="auto"/>
              <w:left w:val="single" w:sz="4" w:space="0" w:color="auto"/>
              <w:bottom w:val="single" w:sz="4" w:space="0" w:color="auto"/>
              <w:right w:val="single" w:sz="4" w:space="0" w:color="auto"/>
            </w:tcBorders>
            <w:shd w:val="clear" w:color="000000" w:fill="BFBFBF"/>
            <w:noWrap/>
            <w:hideMark/>
          </w:tcPr>
          <w:p w:rsidR="00602F2F" w:rsidRPr="00AB210E" w:rsidRDefault="00602F2F" w:rsidP="002D17A6">
            <w:pPr>
              <w:spacing w:before="120" w:after="120" w:line="240" w:lineRule="auto"/>
              <w:rPr>
                <w:rFonts w:ascii="Times New Roman" w:eastAsia="Times New Roman" w:hAnsi="Times New Roman" w:cs="Times New Roman"/>
                <w:color w:val="BFBFBF"/>
                <w:sz w:val="20"/>
                <w:szCs w:val="20"/>
              </w:rPr>
            </w:pPr>
            <w:r w:rsidRPr="00AB210E">
              <w:rPr>
                <w:rFonts w:ascii="Times New Roman" w:eastAsia="Times New Roman" w:hAnsi="Times New Roman" w:cs="Times New Roman"/>
                <w:color w:val="BFBFBF"/>
                <w:sz w:val="20"/>
                <w:szCs w:val="20"/>
              </w:rPr>
              <w:lastRenderedPageBreak/>
              <w:t> </w:t>
            </w:r>
          </w:p>
        </w:tc>
        <w:tc>
          <w:tcPr>
            <w:tcW w:w="5956" w:type="dxa"/>
            <w:tcBorders>
              <w:top w:val="single" w:sz="4" w:space="0" w:color="auto"/>
              <w:left w:val="nil"/>
              <w:bottom w:val="single" w:sz="4" w:space="0" w:color="auto"/>
              <w:right w:val="single" w:sz="4" w:space="0" w:color="auto"/>
            </w:tcBorders>
            <w:shd w:val="clear" w:color="000000" w:fill="BFBFBF"/>
            <w:hideMark/>
          </w:tcPr>
          <w:p w:rsidR="00602F2F" w:rsidRPr="00AB210E" w:rsidRDefault="00602F2F" w:rsidP="002D17A6">
            <w:pPr>
              <w:spacing w:before="120" w:after="120" w:line="240" w:lineRule="auto"/>
              <w:rPr>
                <w:rFonts w:ascii="Times New Roman" w:eastAsia="Times New Roman" w:hAnsi="Times New Roman" w:cs="Times New Roman"/>
                <w:color w:val="BFBFBF"/>
                <w:sz w:val="20"/>
                <w:szCs w:val="20"/>
              </w:rPr>
            </w:pPr>
            <w:r w:rsidRPr="00AB210E">
              <w:rPr>
                <w:rFonts w:ascii="Times New Roman" w:eastAsia="Times New Roman" w:hAnsi="Times New Roman" w:cs="Times New Roman"/>
                <w:color w:val="BFBFBF"/>
                <w:sz w:val="20"/>
                <w:szCs w:val="20"/>
              </w:rPr>
              <w:t> </w:t>
            </w:r>
          </w:p>
        </w:tc>
        <w:tc>
          <w:tcPr>
            <w:tcW w:w="888" w:type="dxa"/>
            <w:tcBorders>
              <w:top w:val="single" w:sz="4" w:space="0" w:color="auto"/>
              <w:left w:val="nil"/>
              <w:bottom w:val="single" w:sz="4" w:space="0" w:color="auto"/>
              <w:right w:val="single" w:sz="4" w:space="0" w:color="auto"/>
            </w:tcBorders>
            <w:shd w:val="clear" w:color="000000" w:fill="BFBFBF"/>
            <w:noWrap/>
            <w:hideMark/>
          </w:tcPr>
          <w:p w:rsidR="00602F2F" w:rsidRPr="00AB210E" w:rsidRDefault="00602F2F" w:rsidP="002D17A6">
            <w:pPr>
              <w:spacing w:before="120" w:after="120" w:line="240" w:lineRule="auto"/>
              <w:jc w:val="center"/>
              <w:rPr>
                <w:rFonts w:ascii="Times New Roman" w:eastAsia="Times New Roman" w:hAnsi="Times New Roman" w:cs="Times New Roman"/>
                <w:color w:val="BFBFBF"/>
                <w:sz w:val="20"/>
                <w:szCs w:val="20"/>
              </w:rPr>
            </w:pPr>
            <w:r w:rsidRPr="00AB210E">
              <w:rPr>
                <w:rFonts w:ascii="Times New Roman" w:eastAsia="Times New Roman" w:hAnsi="Times New Roman" w:cs="Times New Roman"/>
                <w:color w:val="BFBFBF"/>
                <w:sz w:val="20"/>
                <w:szCs w:val="20"/>
              </w:rPr>
              <w:t> </w:t>
            </w:r>
          </w:p>
        </w:tc>
        <w:tc>
          <w:tcPr>
            <w:tcW w:w="990" w:type="dxa"/>
            <w:tcBorders>
              <w:top w:val="single" w:sz="4" w:space="0" w:color="auto"/>
              <w:left w:val="nil"/>
              <w:bottom w:val="single" w:sz="4" w:space="0" w:color="auto"/>
              <w:right w:val="single" w:sz="4" w:space="0" w:color="auto"/>
            </w:tcBorders>
            <w:shd w:val="clear" w:color="000000" w:fill="BFBFBF"/>
            <w:noWrap/>
            <w:hideMark/>
          </w:tcPr>
          <w:p w:rsidR="00602F2F" w:rsidRPr="00AB210E" w:rsidRDefault="00602F2F" w:rsidP="002D17A6">
            <w:pPr>
              <w:spacing w:before="120" w:after="120" w:line="240" w:lineRule="auto"/>
              <w:jc w:val="center"/>
              <w:rPr>
                <w:rFonts w:ascii="Times New Roman" w:eastAsia="Times New Roman" w:hAnsi="Times New Roman" w:cs="Times New Roman"/>
                <w:color w:val="BFBFBF"/>
                <w:sz w:val="20"/>
                <w:szCs w:val="20"/>
              </w:rPr>
            </w:pPr>
            <w:r w:rsidRPr="00AB210E">
              <w:rPr>
                <w:rFonts w:ascii="Times New Roman" w:eastAsia="Times New Roman" w:hAnsi="Times New Roman" w:cs="Times New Roman"/>
                <w:color w:val="BFBFBF"/>
                <w:sz w:val="20"/>
                <w:szCs w:val="20"/>
              </w:rPr>
              <w:t> </w:t>
            </w:r>
          </w:p>
        </w:tc>
        <w:tc>
          <w:tcPr>
            <w:tcW w:w="1005" w:type="dxa"/>
            <w:tcBorders>
              <w:top w:val="single" w:sz="4" w:space="0" w:color="auto"/>
              <w:left w:val="nil"/>
              <w:bottom w:val="single" w:sz="4" w:space="0" w:color="auto"/>
              <w:right w:val="single" w:sz="4" w:space="0" w:color="auto"/>
            </w:tcBorders>
            <w:shd w:val="clear" w:color="000000" w:fill="BFBFBF"/>
            <w:noWrap/>
            <w:hideMark/>
          </w:tcPr>
          <w:p w:rsidR="00602F2F" w:rsidRPr="00AB210E" w:rsidRDefault="00602F2F" w:rsidP="002D17A6">
            <w:pPr>
              <w:spacing w:before="120" w:after="120" w:line="240" w:lineRule="auto"/>
              <w:jc w:val="center"/>
              <w:rPr>
                <w:rFonts w:ascii="Times New Roman" w:eastAsia="Times New Roman" w:hAnsi="Times New Roman" w:cs="Times New Roman"/>
                <w:color w:val="BFBFBF"/>
                <w:sz w:val="20"/>
                <w:szCs w:val="20"/>
              </w:rPr>
            </w:pPr>
            <w:r w:rsidRPr="00AB210E">
              <w:rPr>
                <w:rFonts w:ascii="Times New Roman" w:eastAsia="Times New Roman" w:hAnsi="Times New Roman" w:cs="Times New Roman"/>
                <w:color w:val="BFBFBF"/>
                <w:sz w:val="20"/>
                <w:szCs w:val="20"/>
              </w:rPr>
              <w:t> </w:t>
            </w:r>
          </w:p>
        </w:tc>
        <w:tc>
          <w:tcPr>
            <w:tcW w:w="1080" w:type="dxa"/>
            <w:tcBorders>
              <w:top w:val="single" w:sz="4" w:space="0" w:color="auto"/>
              <w:left w:val="nil"/>
              <w:bottom w:val="single" w:sz="4" w:space="0" w:color="auto"/>
              <w:right w:val="single" w:sz="4" w:space="0" w:color="auto"/>
            </w:tcBorders>
            <w:shd w:val="clear" w:color="000000" w:fill="BFBFBF"/>
            <w:noWrap/>
            <w:hideMark/>
          </w:tcPr>
          <w:p w:rsidR="00602F2F" w:rsidRPr="00AB210E" w:rsidRDefault="00602F2F" w:rsidP="002D17A6">
            <w:pPr>
              <w:spacing w:before="120" w:after="120" w:line="240" w:lineRule="auto"/>
              <w:jc w:val="center"/>
              <w:rPr>
                <w:rFonts w:ascii="Times New Roman" w:eastAsia="Times New Roman" w:hAnsi="Times New Roman" w:cs="Times New Roman"/>
                <w:color w:val="BFBFBF"/>
                <w:sz w:val="20"/>
                <w:szCs w:val="20"/>
              </w:rPr>
            </w:pPr>
            <w:r w:rsidRPr="00AB210E">
              <w:rPr>
                <w:rFonts w:ascii="Times New Roman" w:eastAsia="Times New Roman" w:hAnsi="Times New Roman" w:cs="Times New Roman"/>
                <w:color w:val="BFBFBF"/>
                <w:sz w:val="20"/>
                <w:szCs w:val="20"/>
              </w:rPr>
              <w:t> </w:t>
            </w:r>
          </w:p>
        </w:tc>
        <w:tc>
          <w:tcPr>
            <w:tcW w:w="1172" w:type="dxa"/>
            <w:tcBorders>
              <w:top w:val="single" w:sz="4" w:space="0" w:color="auto"/>
              <w:left w:val="nil"/>
              <w:bottom w:val="single" w:sz="4" w:space="0" w:color="auto"/>
              <w:right w:val="single" w:sz="4" w:space="0" w:color="auto"/>
            </w:tcBorders>
            <w:shd w:val="clear" w:color="000000" w:fill="BFBFBF"/>
            <w:noWrap/>
            <w:hideMark/>
          </w:tcPr>
          <w:p w:rsidR="00602F2F" w:rsidRPr="00AB210E" w:rsidRDefault="00602F2F" w:rsidP="002D17A6">
            <w:pPr>
              <w:spacing w:before="120" w:after="120" w:line="240" w:lineRule="auto"/>
              <w:jc w:val="center"/>
              <w:rPr>
                <w:rFonts w:ascii="Times New Roman" w:eastAsia="Times New Roman" w:hAnsi="Times New Roman" w:cs="Times New Roman"/>
                <w:color w:val="BFBFBF"/>
                <w:sz w:val="20"/>
                <w:szCs w:val="20"/>
              </w:rPr>
            </w:pPr>
            <w:r w:rsidRPr="00AB210E">
              <w:rPr>
                <w:rFonts w:ascii="Times New Roman" w:eastAsia="Times New Roman" w:hAnsi="Times New Roman" w:cs="Times New Roman"/>
                <w:color w:val="BFBFBF"/>
                <w:sz w:val="20"/>
                <w:szCs w:val="20"/>
              </w:rPr>
              <w:t> </w:t>
            </w:r>
          </w:p>
        </w:tc>
        <w:tc>
          <w:tcPr>
            <w:tcW w:w="990" w:type="dxa"/>
            <w:tcBorders>
              <w:top w:val="single" w:sz="4" w:space="0" w:color="auto"/>
              <w:left w:val="nil"/>
              <w:bottom w:val="single" w:sz="4" w:space="0" w:color="auto"/>
              <w:right w:val="single" w:sz="4" w:space="0" w:color="auto"/>
            </w:tcBorders>
            <w:shd w:val="clear" w:color="000000" w:fill="BFBFBF"/>
            <w:noWrap/>
            <w:hideMark/>
          </w:tcPr>
          <w:p w:rsidR="00602F2F" w:rsidRPr="00AB210E" w:rsidRDefault="00602F2F" w:rsidP="002D17A6">
            <w:pPr>
              <w:spacing w:before="120" w:after="120" w:line="240" w:lineRule="auto"/>
              <w:jc w:val="center"/>
              <w:rPr>
                <w:rFonts w:ascii="Times New Roman" w:eastAsia="Times New Roman" w:hAnsi="Times New Roman" w:cs="Times New Roman"/>
                <w:color w:val="BFBFBF"/>
                <w:sz w:val="20"/>
                <w:szCs w:val="20"/>
              </w:rPr>
            </w:pPr>
            <w:r w:rsidRPr="00AB210E">
              <w:rPr>
                <w:rFonts w:ascii="Times New Roman" w:eastAsia="Times New Roman" w:hAnsi="Times New Roman" w:cs="Times New Roman"/>
                <w:color w:val="BFBFBF"/>
                <w:sz w:val="20"/>
                <w:szCs w:val="20"/>
              </w:rPr>
              <w:t> </w:t>
            </w:r>
          </w:p>
        </w:tc>
        <w:tc>
          <w:tcPr>
            <w:tcW w:w="1260" w:type="dxa"/>
            <w:tcBorders>
              <w:top w:val="single" w:sz="4" w:space="0" w:color="auto"/>
              <w:left w:val="nil"/>
              <w:bottom w:val="single" w:sz="4" w:space="0" w:color="auto"/>
              <w:right w:val="single" w:sz="4" w:space="0" w:color="auto"/>
            </w:tcBorders>
            <w:shd w:val="clear" w:color="000000" w:fill="BFBFBF"/>
            <w:noWrap/>
            <w:hideMark/>
          </w:tcPr>
          <w:p w:rsidR="00602F2F" w:rsidRPr="00AB210E" w:rsidRDefault="00602F2F" w:rsidP="002D17A6">
            <w:pPr>
              <w:spacing w:before="120" w:after="120" w:line="240" w:lineRule="auto"/>
              <w:jc w:val="center"/>
              <w:rPr>
                <w:rFonts w:ascii="Times New Roman" w:eastAsia="Times New Roman" w:hAnsi="Times New Roman" w:cs="Times New Roman"/>
                <w:color w:val="BFBFBF"/>
                <w:sz w:val="20"/>
                <w:szCs w:val="20"/>
              </w:rPr>
            </w:pPr>
            <w:r w:rsidRPr="00AB210E">
              <w:rPr>
                <w:rFonts w:ascii="Times New Roman" w:eastAsia="Times New Roman" w:hAnsi="Times New Roman" w:cs="Times New Roman"/>
                <w:color w:val="BFBFBF"/>
                <w:sz w:val="20"/>
                <w:szCs w:val="20"/>
              </w:rPr>
              <w:t> </w:t>
            </w:r>
          </w:p>
        </w:tc>
      </w:tr>
      <w:tr w:rsidR="00F42F0E" w:rsidRPr="00AB210E" w:rsidTr="006B0C05">
        <w:trPr>
          <w:trHeight w:val="2897"/>
          <w:jc w:val="right"/>
        </w:trPr>
        <w:tc>
          <w:tcPr>
            <w:tcW w:w="7150" w:type="dxa"/>
            <w:gridSpan w:val="2"/>
            <w:tcBorders>
              <w:top w:val="single" w:sz="4" w:space="0" w:color="auto"/>
              <w:left w:val="single" w:sz="4" w:space="0" w:color="auto"/>
              <w:bottom w:val="single" w:sz="4" w:space="0" w:color="auto"/>
              <w:right w:val="single" w:sz="4" w:space="0" w:color="auto"/>
            </w:tcBorders>
            <w:shd w:val="clear" w:color="auto" w:fill="auto"/>
          </w:tcPr>
          <w:p w:rsidR="00F42F0E" w:rsidRPr="002D17A6" w:rsidRDefault="00F42F0E" w:rsidP="002D17A6">
            <w:pPr>
              <w:pStyle w:val="Title"/>
              <w:keepNext/>
              <w:spacing w:before="120" w:after="120"/>
              <w:jc w:val="left"/>
              <w:rPr>
                <w:rFonts w:ascii="Times New Roman" w:hAnsi="Times New Roman"/>
                <w:smallCaps/>
                <w:sz w:val="20"/>
                <w:szCs w:val="20"/>
              </w:rPr>
            </w:pPr>
            <w:r w:rsidRPr="002D17A6">
              <w:rPr>
                <w:rFonts w:ascii="Times New Roman" w:hAnsi="Times New Roman"/>
                <w:smallCaps/>
                <w:sz w:val="20"/>
                <w:szCs w:val="20"/>
              </w:rPr>
              <w:t>2.  Observations and Core Issues as of April 24 2012 :</w:t>
            </w:r>
          </w:p>
          <w:p w:rsidR="00F42F0E" w:rsidRPr="002D17A6" w:rsidRDefault="00F42F0E" w:rsidP="002D17A6">
            <w:pPr>
              <w:keepNext/>
              <w:spacing w:before="120" w:after="120" w:line="240" w:lineRule="auto"/>
              <w:rPr>
                <w:rFonts w:ascii="Times New Roman" w:hAnsi="Times New Roman" w:cs="Times New Roman"/>
                <w:sz w:val="20"/>
                <w:szCs w:val="20"/>
              </w:rPr>
            </w:pPr>
            <w:r w:rsidRPr="002D17A6">
              <w:rPr>
                <w:rFonts w:ascii="Times New Roman" w:hAnsi="Times New Roman" w:cs="Times New Roman"/>
                <w:sz w:val="20"/>
                <w:szCs w:val="20"/>
              </w:rPr>
              <w:t>Capacity issues including the availability and determination to use firm and interruptible capacity to support load requirements is a core issue in the interdependencies of the two markets, for both the day of and the day ahead markets.</w:t>
            </w:r>
          </w:p>
          <w:p w:rsidR="002D17A6" w:rsidRPr="002D17A6" w:rsidRDefault="002D17A6" w:rsidP="002D17A6">
            <w:pPr>
              <w:spacing w:before="120" w:after="120" w:line="240" w:lineRule="auto"/>
              <w:ind w:left="14"/>
              <w:rPr>
                <w:rFonts w:ascii="Times New Roman" w:hAnsi="Times New Roman" w:cs="Times New Roman"/>
                <w:bCs/>
                <w:color w:val="000000"/>
                <w:sz w:val="20"/>
                <w:szCs w:val="20"/>
              </w:rPr>
            </w:pPr>
            <w:r w:rsidRPr="002D17A6">
              <w:rPr>
                <w:rFonts w:ascii="Times New Roman" w:hAnsi="Times New Roman" w:cs="Times New Roman"/>
                <w:bCs/>
                <w:color w:val="000000"/>
                <w:sz w:val="20"/>
                <w:szCs w:val="20"/>
              </w:rPr>
              <w:t xml:space="preserve">Core Issue: Recognizing the interdependency of the gas and electric markets for both day of and day ahead operations, should NAESB examine: </w:t>
            </w:r>
          </w:p>
          <w:p w:rsidR="002D17A6" w:rsidRPr="002D17A6" w:rsidRDefault="002D17A6" w:rsidP="002D17A6">
            <w:pPr>
              <w:pStyle w:val="ListParagraph"/>
              <w:numPr>
                <w:ilvl w:val="0"/>
                <w:numId w:val="6"/>
              </w:numPr>
              <w:spacing w:before="120" w:after="120" w:line="240" w:lineRule="auto"/>
              <w:ind w:left="375" w:hanging="274"/>
              <w:contextualSpacing w:val="0"/>
              <w:rPr>
                <w:rFonts w:ascii="Times New Roman" w:hAnsi="Times New Roman" w:cs="Times New Roman"/>
                <w:bCs/>
                <w:color w:val="000000"/>
                <w:sz w:val="20"/>
                <w:szCs w:val="20"/>
              </w:rPr>
            </w:pPr>
            <w:r w:rsidRPr="002D17A6">
              <w:rPr>
                <w:rFonts w:ascii="Times New Roman" w:hAnsi="Times New Roman" w:cs="Times New Roman"/>
                <w:bCs/>
                <w:color w:val="000000"/>
                <w:sz w:val="20"/>
                <w:szCs w:val="20"/>
              </w:rPr>
              <w:t>the relationship between the pipeline service options and the electric capacity equivalent (i.e. the character and quality of firmness of natural gas service and generator service selections is consistent with the service obligation/expectation of the generators and system operators/RTOs)?</w:t>
            </w:r>
          </w:p>
          <w:p w:rsidR="002D17A6" w:rsidRPr="002D17A6" w:rsidRDefault="002D17A6" w:rsidP="002D17A6">
            <w:pPr>
              <w:pStyle w:val="ListParagraph"/>
              <w:numPr>
                <w:ilvl w:val="0"/>
                <w:numId w:val="6"/>
              </w:numPr>
              <w:spacing w:before="120" w:after="120" w:line="240" w:lineRule="auto"/>
              <w:ind w:left="375" w:hanging="274"/>
              <w:contextualSpacing w:val="0"/>
              <w:rPr>
                <w:rFonts w:ascii="Times New Roman" w:hAnsi="Times New Roman" w:cs="Times New Roman"/>
                <w:bCs/>
                <w:color w:val="000000"/>
                <w:sz w:val="20"/>
                <w:szCs w:val="20"/>
              </w:rPr>
            </w:pPr>
            <w:r w:rsidRPr="002D17A6">
              <w:rPr>
                <w:rFonts w:ascii="Times New Roman" w:hAnsi="Times New Roman" w:cs="Times New Roman"/>
                <w:bCs/>
                <w:color w:val="000000"/>
                <w:sz w:val="20"/>
                <w:szCs w:val="20"/>
              </w:rPr>
              <w:t>the structure of communications to make better use of existing capacity?</w:t>
            </w:r>
          </w:p>
          <w:p w:rsidR="006B0C05" w:rsidRPr="002D17A6" w:rsidRDefault="002D17A6" w:rsidP="002D17A6">
            <w:pPr>
              <w:pStyle w:val="ListParagraph"/>
              <w:numPr>
                <w:ilvl w:val="0"/>
                <w:numId w:val="6"/>
              </w:numPr>
              <w:spacing w:before="120" w:after="120" w:line="240" w:lineRule="auto"/>
              <w:ind w:left="375" w:hanging="274"/>
              <w:contextualSpacing w:val="0"/>
              <w:rPr>
                <w:rFonts w:ascii="Times New Roman" w:eastAsia="Times New Roman" w:hAnsi="Times New Roman" w:cs="Times New Roman"/>
                <w:color w:val="000000"/>
                <w:sz w:val="20"/>
                <w:szCs w:val="20"/>
              </w:rPr>
            </w:pPr>
            <w:r w:rsidRPr="002D17A6">
              <w:rPr>
                <w:rFonts w:ascii="Times New Roman" w:hAnsi="Times New Roman" w:cs="Times New Roman"/>
                <w:bCs/>
                <w:color w:val="000000"/>
                <w:sz w:val="20"/>
                <w:szCs w:val="20"/>
              </w:rPr>
              <w:t>Note: This and all core issues should be examined for whether the decisions should be made at the regional level (e.g. product characteristics).  Observations should be identified as: (1) information sharing, (2) commercial decisions and (3) scheduling related.</w:t>
            </w:r>
          </w:p>
        </w:tc>
        <w:tc>
          <w:tcPr>
            <w:tcW w:w="888" w:type="dxa"/>
            <w:tcBorders>
              <w:top w:val="single" w:sz="4" w:space="0" w:color="auto"/>
              <w:left w:val="nil"/>
              <w:bottom w:val="single" w:sz="4" w:space="0" w:color="auto"/>
              <w:right w:val="single" w:sz="4" w:space="0" w:color="auto"/>
            </w:tcBorders>
            <w:shd w:val="clear" w:color="auto" w:fill="auto"/>
            <w:noWrap/>
          </w:tcPr>
          <w:p w:rsidR="00F42F0E" w:rsidRPr="00AB210E" w:rsidRDefault="00F42F0E" w:rsidP="002D17A6">
            <w:pPr>
              <w:spacing w:before="120" w:after="120" w:line="240" w:lineRule="auto"/>
              <w:jc w:val="center"/>
              <w:rPr>
                <w:rFonts w:ascii="Times New Roman" w:eastAsia="Times New Roman" w:hAnsi="Times New Roman" w:cs="Times New Roman"/>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tcPr>
          <w:p w:rsidR="00F42F0E" w:rsidRPr="00AB210E" w:rsidRDefault="00F42F0E" w:rsidP="002D17A6">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rsidR="00F42F0E" w:rsidRPr="00AB210E" w:rsidRDefault="00F42F0E" w:rsidP="002D17A6">
            <w:pPr>
              <w:spacing w:before="120" w:after="120" w:line="240" w:lineRule="auto"/>
              <w:jc w:val="center"/>
              <w:rPr>
                <w:rFonts w:ascii="Times New Roman" w:eastAsia="Times New Roman" w:hAnsi="Times New Roman" w:cs="Times New Roman"/>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noWrap/>
          </w:tcPr>
          <w:p w:rsidR="00F42F0E" w:rsidRPr="00AB210E" w:rsidRDefault="00F42F0E" w:rsidP="002D17A6">
            <w:pPr>
              <w:spacing w:before="120" w:after="120" w:line="240" w:lineRule="auto"/>
              <w:jc w:val="center"/>
              <w:rPr>
                <w:rFonts w:ascii="Times New Roman" w:eastAsia="Times New Roman" w:hAnsi="Times New Roman" w:cs="Times New Roman"/>
                <w:color w:val="000000"/>
                <w:sz w:val="20"/>
                <w:szCs w:val="20"/>
              </w:rPr>
            </w:pPr>
          </w:p>
        </w:tc>
        <w:tc>
          <w:tcPr>
            <w:tcW w:w="1172" w:type="dxa"/>
            <w:tcBorders>
              <w:top w:val="single" w:sz="4" w:space="0" w:color="auto"/>
              <w:left w:val="nil"/>
              <w:bottom w:val="single" w:sz="4" w:space="0" w:color="auto"/>
              <w:right w:val="single" w:sz="4" w:space="0" w:color="auto"/>
            </w:tcBorders>
            <w:shd w:val="clear" w:color="auto" w:fill="auto"/>
            <w:noWrap/>
          </w:tcPr>
          <w:p w:rsidR="00F42F0E" w:rsidRPr="00AB210E" w:rsidRDefault="00F42F0E" w:rsidP="002D17A6">
            <w:pPr>
              <w:spacing w:before="120" w:after="120" w:line="240" w:lineRule="auto"/>
              <w:jc w:val="center"/>
              <w:rPr>
                <w:rFonts w:ascii="Times New Roman" w:eastAsia="Times New Roman" w:hAnsi="Times New Roman" w:cs="Times New Roman"/>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tcPr>
          <w:p w:rsidR="00F42F0E" w:rsidRPr="00AB210E" w:rsidRDefault="00F42F0E" w:rsidP="002D17A6">
            <w:pPr>
              <w:spacing w:before="120" w:after="120" w:line="240" w:lineRule="auto"/>
              <w:jc w:val="center"/>
              <w:rPr>
                <w:rFonts w:ascii="Times New Roman" w:eastAsia="Times New Roman" w:hAnsi="Times New Roman" w:cs="Times New Roman"/>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noWrap/>
          </w:tcPr>
          <w:p w:rsidR="00F42F0E" w:rsidRPr="00AB210E" w:rsidRDefault="00F42F0E" w:rsidP="002D17A6">
            <w:pPr>
              <w:spacing w:before="120" w:after="120" w:line="240" w:lineRule="auto"/>
              <w:jc w:val="center"/>
              <w:rPr>
                <w:rFonts w:ascii="Times New Roman" w:eastAsia="Times New Roman" w:hAnsi="Times New Roman" w:cs="Times New Roman"/>
                <w:color w:val="000000"/>
                <w:sz w:val="20"/>
                <w:szCs w:val="20"/>
              </w:rPr>
            </w:pPr>
          </w:p>
        </w:tc>
      </w:tr>
      <w:tr w:rsidR="00411012" w:rsidRPr="00AB210E" w:rsidTr="006B0C05">
        <w:trPr>
          <w:trHeight w:val="1664"/>
          <w:jc w:val="right"/>
        </w:trPr>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411012" w:rsidRPr="00AB210E" w:rsidRDefault="00411012" w:rsidP="002D17A6">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2-1</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2D17A6" w:rsidRDefault="00411012" w:rsidP="002D17A6">
            <w:pPr>
              <w:spacing w:before="120" w:after="120" w:line="240" w:lineRule="auto"/>
              <w:rPr>
                <w:rFonts w:ascii="Times New Roman" w:eastAsia="Times New Roman" w:hAnsi="Times New Roman" w:cs="Times New Roman"/>
                <w:color w:val="000000"/>
                <w:sz w:val="20"/>
                <w:szCs w:val="20"/>
              </w:rPr>
            </w:pPr>
            <w:r w:rsidRPr="002D17A6">
              <w:rPr>
                <w:rFonts w:ascii="Times New Roman" w:eastAsia="Times New Roman" w:hAnsi="Times New Roman" w:cs="Times New Roman"/>
                <w:color w:val="000000"/>
                <w:sz w:val="20"/>
                <w:szCs w:val="20"/>
              </w:rPr>
              <w:t xml:space="preserve">Firm gas transportation service customers may only experience problems on peak gas usage days, when they have not exercised their firm rights in accordance with the currently timely nomination cycle.  Similarly, reliance in interruptible gas transportation service on peak gas usage days can be problematic, as it is likely that the firm gas transportation service customers exercising their rights may account for all available capacity.  </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r>
      <w:tr w:rsidR="00411012" w:rsidRPr="00AB210E" w:rsidTr="006B0C05">
        <w:trPr>
          <w:trHeight w:val="1430"/>
          <w:jc w:val="right"/>
        </w:trPr>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411012" w:rsidRPr="00AB210E" w:rsidRDefault="00411012" w:rsidP="002D17A6">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lastRenderedPageBreak/>
              <w:t>2-2</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A better understanding of the electric installed capacity and production requirements would take into account: (1) conditions under which generators determine to use firm fuel and capacity, (2) the capacity needed to support must serve loads, and (3) the barriers or economic forces that impede generators from contracting for services to meet must serve loads.</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6B0C05">
        <w:trPr>
          <w:trHeight w:val="1160"/>
          <w:jc w:val="right"/>
        </w:trPr>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411012" w:rsidRPr="00AB210E" w:rsidRDefault="00411012" w:rsidP="002D17A6">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2-3</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In RTO/ISO markets, with consideration for how plants are dispatched, the cost differentials between firm service and interruptible service should be examined, which may highlight the need for customer education and the definition of reasonable costs to support reliable service.</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602F2F">
        <w:trPr>
          <w:trHeight w:val="1065"/>
          <w:jc w:val="right"/>
        </w:trPr>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411012" w:rsidRPr="00AB210E" w:rsidRDefault="00411012" w:rsidP="002D17A6">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2-4</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Variability in demand, such as unanticipated demand for natural gas or electricity, may be reflected as increased demand on gas-fired plants and other resources having short notice energy dispatch flexibility.  Depending on the circumstances, costs and or prices may increase.</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r>
      <w:tr w:rsidR="00411012" w:rsidRPr="00AB210E" w:rsidTr="00602F2F">
        <w:trPr>
          <w:trHeight w:val="1425"/>
          <w:jc w:val="right"/>
        </w:trPr>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411012" w:rsidRPr="00AB210E" w:rsidRDefault="00411012" w:rsidP="002D17A6">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2-5</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In RTO/ISO markets, ISOs and RTOs are not fuel biased in reviewing the generators’ ability to provide electricity. The generators’ fuel neutral requirements to meet load on a peak day would be helpful in avoiding or reducing curtailments.  Some states may have policies in place that identify a preferred loading order to generation.</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r>
      <w:tr w:rsidR="00411012" w:rsidRPr="00AB210E" w:rsidTr="00602F2F">
        <w:trPr>
          <w:trHeight w:val="2805"/>
          <w:jc w:val="right"/>
        </w:trPr>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411012" w:rsidRPr="00AB210E" w:rsidRDefault="00411012" w:rsidP="002D17A6">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lastRenderedPageBreak/>
              <w:t>2-6</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Market design issues are regional and may be most appropriately addressed by the ISOs and RTOs directly – an example of which could be the coordination issues for long term forward capacity electric markets.  Gas service fixed cost recovery should be considered, including who holds and pays for the gas pipeline capacity needed to back up renewables or to serve normal load requirements. Product definition requirements and the form of firm service appropriate to the operational obligations may need to align with those regional requirements, although there may be common elements that would facilitate defining the service characteristics and scheduling rights needed to serve the electric sector.</w:t>
            </w:r>
          </w:p>
        </w:tc>
        <w:tc>
          <w:tcPr>
            <w:tcW w:w="888" w:type="dxa"/>
            <w:tcBorders>
              <w:top w:val="single" w:sz="4" w:space="0" w:color="auto"/>
              <w:left w:val="nil"/>
              <w:bottom w:val="single" w:sz="4" w:space="0" w:color="auto"/>
              <w:right w:val="single" w:sz="4" w:space="0" w:color="auto"/>
            </w:tcBorders>
            <w:shd w:val="clear" w:color="auto" w:fill="auto"/>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 [federal, state]</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411012">
        <w:trPr>
          <w:trHeight w:val="315"/>
          <w:jc w:val="right"/>
        </w:trPr>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411012" w:rsidRPr="00AB210E" w:rsidRDefault="00411012" w:rsidP="002D17A6">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2-7</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 xml:space="preserve"> [Deleted.]</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602F2F">
        <w:trPr>
          <w:trHeight w:val="1245"/>
          <w:jc w:val="right"/>
        </w:trPr>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411012" w:rsidRPr="00AB210E" w:rsidRDefault="00411012" w:rsidP="002D17A6">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2-8</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 xml:space="preserve">After the RTO/ISO markets have estimated the firm capacity needed to meet load requirements, there are several pricing programs and markets available to them in ensuring the needed capacity commitments and dispatch flexibility. </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r>
      <w:tr w:rsidR="00411012" w:rsidRPr="00AB210E" w:rsidTr="00602F2F">
        <w:trPr>
          <w:trHeight w:val="960"/>
          <w:jc w:val="right"/>
        </w:trPr>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411012" w:rsidRPr="00AB210E" w:rsidRDefault="00411012" w:rsidP="002D17A6">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2-9</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Price signal information, which could be an input to cost recovery, is needed by generators when making economic decisions on fuels and services in support of reliable service.</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602F2F">
        <w:trPr>
          <w:trHeight w:val="915"/>
          <w:jc w:val="right"/>
        </w:trPr>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411012" w:rsidRPr="00AB210E" w:rsidRDefault="00411012" w:rsidP="002D17A6">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2-10</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Incorporating use of LNG and storage facilities as peak shaving units can provide flexibility for power generation and expands the capability of the market in meeting demand for power.</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r>
      <w:tr w:rsidR="00411012" w:rsidRPr="00AB210E" w:rsidTr="004F4B9A">
        <w:trPr>
          <w:trHeight w:val="377"/>
          <w:jc w:val="right"/>
        </w:trPr>
        <w:tc>
          <w:tcPr>
            <w:tcW w:w="1194" w:type="dxa"/>
            <w:tcBorders>
              <w:top w:val="single" w:sz="4" w:space="0" w:color="auto"/>
              <w:left w:val="single" w:sz="4" w:space="0" w:color="auto"/>
              <w:bottom w:val="single" w:sz="4" w:space="0" w:color="auto"/>
              <w:right w:val="single" w:sz="4" w:space="0" w:color="auto"/>
            </w:tcBorders>
            <w:shd w:val="clear" w:color="000000" w:fill="FFFFFF"/>
            <w:hideMark/>
          </w:tcPr>
          <w:p w:rsidR="00411012" w:rsidRPr="00AB210E" w:rsidRDefault="00411012" w:rsidP="002D17A6">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lastRenderedPageBreak/>
              <w:t>2-11</w:t>
            </w:r>
          </w:p>
        </w:tc>
        <w:tc>
          <w:tcPr>
            <w:tcW w:w="5956" w:type="dxa"/>
            <w:tcBorders>
              <w:top w:val="single" w:sz="4" w:space="0" w:color="auto"/>
              <w:left w:val="nil"/>
              <w:bottom w:val="single" w:sz="4" w:space="0" w:color="auto"/>
              <w:right w:val="single" w:sz="4" w:space="0" w:color="auto"/>
            </w:tcBorders>
            <w:shd w:val="clear" w:color="000000" w:fill="FFFFFF"/>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[Deleted.]</w:t>
            </w:r>
          </w:p>
        </w:tc>
        <w:tc>
          <w:tcPr>
            <w:tcW w:w="888" w:type="dxa"/>
            <w:tcBorders>
              <w:top w:val="single" w:sz="4" w:space="0" w:color="auto"/>
              <w:left w:val="nil"/>
              <w:bottom w:val="single" w:sz="4" w:space="0" w:color="auto"/>
              <w:right w:val="single" w:sz="4" w:space="0" w:color="auto"/>
            </w:tcBorders>
            <w:shd w:val="clear" w:color="000000" w:fill="FFFFFF"/>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000000" w:fill="FFFFFF"/>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000000" w:fill="FFFFFF"/>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000000" w:fill="FFFFFF"/>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000000" w:fill="FFFFFF"/>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000000" w:fill="FFFFFF"/>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000000" w:fill="FFFFFF"/>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903A5F">
        <w:trPr>
          <w:trHeight w:val="1061"/>
          <w:jc w:val="right"/>
        </w:trPr>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411012" w:rsidRPr="00AB210E" w:rsidRDefault="00411012" w:rsidP="002D17A6">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2-12</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It is a given in the energy markets that adequate lead time is needed to secure any required replacement capacity and address any associated stress when the decision is made to: (1) retire a generating unit; or (2) decommit (e.g., take offline) a generating unit.</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903A5F">
        <w:trPr>
          <w:trHeight w:val="800"/>
          <w:jc w:val="right"/>
        </w:trPr>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411012" w:rsidRPr="00AB210E" w:rsidRDefault="00411012" w:rsidP="002D17A6">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2-13</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Adequate lead times to secure the replacement capacity an</w:t>
            </w:r>
            <w:r>
              <w:rPr>
                <w:rFonts w:ascii="Times New Roman" w:eastAsia="Times New Roman" w:hAnsi="Times New Roman" w:cs="Times New Roman"/>
                <w:color w:val="000000"/>
                <w:sz w:val="20"/>
                <w:szCs w:val="20"/>
              </w:rPr>
              <w:t xml:space="preserve">d energy is needed in order to </w:t>
            </w:r>
            <w:r w:rsidRPr="000A5890">
              <w:rPr>
                <w:rFonts w:ascii="Times New Roman" w:eastAsia="Times New Roman" w:hAnsi="Times New Roman" w:cs="Times New Roman"/>
                <w:color w:val="000000"/>
                <w:sz w:val="20"/>
                <w:szCs w:val="20"/>
              </w:rPr>
              <w:t xml:space="preserve">reliably address any stress that is introduced when generation units are retired or taken offline. </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903A5F">
        <w:trPr>
          <w:trHeight w:val="1610"/>
          <w:jc w:val="right"/>
        </w:trPr>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411012" w:rsidRPr="00AB210E" w:rsidRDefault="00411012" w:rsidP="002D17A6">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2-14</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Intermittent wind and solar generation have an impact on pipeline capacity when gas-fired generation is used as a backstop to balance the system.  ERCOT provides the data related to such generation in 15 minute increments to support planning.  Weather conditions upwind of wind generation can be monitored to better plan for the requirements to be placed on all supply/demand responsive sources, which would include gas-fired generators and their pipelines.</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411012">
        <w:trPr>
          <w:trHeight w:val="377"/>
          <w:jc w:val="right"/>
        </w:trPr>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411012" w:rsidRPr="00AB210E" w:rsidRDefault="00411012" w:rsidP="002D17A6">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2-15</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 xml:space="preserve">NAESB WGQ Standard 1.3.80 may be extended to better facilitate the quick movement of gas and/or capacity between shippers and generators downstream of a pipeline constraint, and in doing so, provide more effective use of existing infrastructure, and more liquidity to the market in an ICE like market:   1.3.80  To the extent the Transportation Service Provider's (TSP) other scheduling requirements are met, a TSP should support the ability of a Service Requester to redirect scheduled quantities to other receipt points upstream of a constraint point or delivery points downstream of a constraint point at </w:t>
            </w:r>
            <w:r w:rsidRPr="000A5890">
              <w:rPr>
                <w:rFonts w:ascii="Times New Roman" w:eastAsia="Times New Roman" w:hAnsi="Times New Roman" w:cs="Times New Roman"/>
                <w:color w:val="000000"/>
                <w:sz w:val="20"/>
                <w:szCs w:val="20"/>
              </w:rPr>
              <w:lastRenderedPageBreak/>
              <w:t>any of the TSP’s subsequent nomination cycle(s) for the subject gas day, at least under the same contract, without a requirement that the quantities be rescheduled through the point of constraint.</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lastRenderedPageBreak/>
              <w:t>X</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602F2F">
        <w:trPr>
          <w:trHeight w:val="1530"/>
          <w:jc w:val="right"/>
        </w:trPr>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411012" w:rsidRPr="00AB210E" w:rsidRDefault="00411012" w:rsidP="002D17A6">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lastRenderedPageBreak/>
              <w:t>2-16</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What economic decisions should be made regarding the costs assumed by the gas fired generators to back up the variable energy resources used? (Would this be similar to costs assumed for providing net load following service needed, (weather variability affecting consumption in conjunction with output of variable energy resources?)</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2D17A6">
        <w:trPr>
          <w:trHeight w:val="2069"/>
          <w:jc w:val="right"/>
        </w:trPr>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411012" w:rsidRPr="00AB210E" w:rsidRDefault="00411012" w:rsidP="002D17A6">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2-17</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 xml:space="preserve">Optimizing and servicing the growing electricity and natural gas capacity markets, and adding capacity to the markets may point to process improvement measures and structured communications, among other actions – which would necessarily involve all segments of the markets.  Both natural gas and electricity capacity products in the future may need to divide into sub product characteristics, which for the electricity products, may impact the fuel service requirements- e.g. contingency reserves or peaking, net load following and the like.  </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xml:space="preserve"> </w:t>
            </w:r>
          </w:p>
        </w:tc>
      </w:tr>
      <w:tr w:rsidR="00411012" w:rsidRPr="00AB210E" w:rsidTr="00602F2F">
        <w:trPr>
          <w:trHeight w:val="1335"/>
          <w:jc w:val="right"/>
        </w:trPr>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411012" w:rsidRPr="00AB210E" w:rsidRDefault="00411012" w:rsidP="002D17A6">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2-18</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To the extent that gas storage is sought to enhance reliability, need to address areas of the country where storage is geologically infeasible (perhaps via innovative above-ground storage technology for power plants or LNG needle peaking facilities or alternate fuel requirement).</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602F2F" w:rsidRPr="00AB210E" w:rsidTr="00602F2F">
        <w:trPr>
          <w:trHeight w:val="255"/>
          <w:jc w:val="right"/>
        </w:trPr>
        <w:tc>
          <w:tcPr>
            <w:tcW w:w="1194" w:type="dxa"/>
            <w:tcBorders>
              <w:top w:val="single" w:sz="4" w:space="0" w:color="auto"/>
              <w:left w:val="single" w:sz="4" w:space="0" w:color="auto"/>
              <w:bottom w:val="single" w:sz="4" w:space="0" w:color="auto"/>
              <w:right w:val="single" w:sz="4" w:space="0" w:color="auto"/>
            </w:tcBorders>
            <w:shd w:val="clear" w:color="000000" w:fill="D9D9D9"/>
            <w:noWrap/>
            <w:hideMark/>
          </w:tcPr>
          <w:p w:rsidR="00602F2F" w:rsidRPr="00AB210E" w:rsidRDefault="00602F2F" w:rsidP="002D17A6">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5956" w:type="dxa"/>
            <w:tcBorders>
              <w:top w:val="single" w:sz="4" w:space="0" w:color="auto"/>
              <w:left w:val="nil"/>
              <w:bottom w:val="single" w:sz="4" w:space="0" w:color="auto"/>
              <w:right w:val="single" w:sz="4" w:space="0" w:color="auto"/>
            </w:tcBorders>
            <w:shd w:val="clear" w:color="000000" w:fill="D9D9D9"/>
            <w:hideMark/>
          </w:tcPr>
          <w:p w:rsidR="00602F2F" w:rsidRPr="00AB210E" w:rsidRDefault="00602F2F" w:rsidP="002D17A6">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888" w:type="dxa"/>
            <w:tcBorders>
              <w:top w:val="single" w:sz="4" w:space="0" w:color="auto"/>
              <w:left w:val="nil"/>
              <w:bottom w:val="single" w:sz="4" w:space="0" w:color="auto"/>
              <w:right w:val="single" w:sz="4" w:space="0" w:color="auto"/>
            </w:tcBorders>
            <w:shd w:val="clear" w:color="000000" w:fill="D9D9D9"/>
            <w:noWrap/>
            <w:hideMark/>
          </w:tcPr>
          <w:p w:rsidR="00602F2F" w:rsidRPr="00AB210E" w:rsidRDefault="00602F2F"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000000" w:fill="D9D9D9"/>
            <w:noWrap/>
            <w:hideMark/>
          </w:tcPr>
          <w:p w:rsidR="00602F2F" w:rsidRPr="00AB210E" w:rsidRDefault="00602F2F"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000000" w:fill="D9D9D9"/>
            <w:noWrap/>
            <w:hideMark/>
          </w:tcPr>
          <w:p w:rsidR="00602F2F" w:rsidRPr="00AB210E" w:rsidRDefault="00602F2F"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000000" w:fill="D9D9D9"/>
            <w:noWrap/>
            <w:hideMark/>
          </w:tcPr>
          <w:p w:rsidR="00602F2F" w:rsidRPr="00AB210E" w:rsidRDefault="00602F2F"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000000" w:fill="D9D9D9"/>
            <w:noWrap/>
            <w:hideMark/>
          </w:tcPr>
          <w:p w:rsidR="00602F2F" w:rsidRPr="00AB210E" w:rsidRDefault="00602F2F"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000000" w:fill="D9D9D9"/>
            <w:noWrap/>
            <w:hideMark/>
          </w:tcPr>
          <w:p w:rsidR="00602F2F" w:rsidRPr="00AB210E" w:rsidRDefault="00602F2F"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000000" w:fill="D9D9D9"/>
            <w:noWrap/>
            <w:hideMark/>
          </w:tcPr>
          <w:p w:rsidR="00602F2F" w:rsidRPr="00AB210E" w:rsidRDefault="00602F2F"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B6884" w:rsidRPr="00AB210E" w:rsidTr="002D17A6">
        <w:trPr>
          <w:trHeight w:val="629"/>
          <w:jc w:val="right"/>
        </w:trPr>
        <w:tc>
          <w:tcPr>
            <w:tcW w:w="7150" w:type="dxa"/>
            <w:gridSpan w:val="2"/>
            <w:tcBorders>
              <w:top w:val="single" w:sz="4" w:space="0" w:color="auto"/>
              <w:left w:val="single" w:sz="4" w:space="0" w:color="auto"/>
              <w:bottom w:val="single" w:sz="4" w:space="0" w:color="auto"/>
              <w:right w:val="single" w:sz="4" w:space="0" w:color="auto"/>
            </w:tcBorders>
            <w:shd w:val="clear" w:color="auto" w:fill="auto"/>
            <w:noWrap/>
          </w:tcPr>
          <w:p w:rsidR="004B6884" w:rsidRPr="004B6884" w:rsidRDefault="004B6884" w:rsidP="002D17A6">
            <w:pPr>
              <w:pStyle w:val="Title"/>
              <w:spacing w:before="120" w:after="120"/>
              <w:jc w:val="left"/>
              <w:rPr>
                <w:rFonts w:ascii="Times New Roman" w:hAnsi="Times New Roman"/>
                <w:smallCaps/>
                <w:sz w:val="20"/>
                <w:szCs w:val="20"/>
              </w:rPr>
            </w:pPr>
            <w:r w:rsidRPr="004B6884">
              <w:rPr>
                <w:rFonts w:ascii="Times New Roman" w:hAnsi="Times New Roman"/>
                <w:smallCaps/>
                <w:sz w:val="20"/>
                <w:szCs w:val="20"/>
              </w:rPr>
              <w:lastRenderedPageBreak/>
              <w:t xml:space="preserve">3.  Observations and Core Issues as of </w:t>
            </w:r>
            <w:r w:rsidR="00742DD2">
              <w:rPr>
                <w:rFonts w:ascii="Times New Roman" w:hAnsi="Times New Roman"/>
                <w:smallCaps/>
                <w:sz w:val="20"/>
                <w:szCs w:val="20"/>
              </w:rPr>
              <w:t>April 24</w:t>
            </w:r>
            <w:r w:rsidRPr="004B6884">
              <w:rPr>
                <w:rFonts w:ascii="Times New Roman" w:hAnsi="Times New Roman"/>
                <w:smallCaps/>
                <w:sz w:val="20"/>
                <w:szCs w:val="20"/>
              </w:rPr>
              <w:t>, 2012 :</w:t>
            </w:r>
          </w:p>
          <w:p w:rsidR="004B6884" w:rsidRPr="002D17A6" w:rsidRDefault="004B6884" w:rsidP="002D17A6">
            <w:pPr>
              <w:spacing w:before="120" w:after="120" w:line="240" w:lineRule="auto"/>
              <w:rPr>
                <w:rFonts w:ascii="Times New Roman" w:hAnsi="Times New Roman" w:cs="Times New Roman"/>
                <w:sz w:val="20"/>
                <w:szCs w:val="20"/>
              </w:rPr>
            </w:pPr>
            <w:r w:rsidRPr="004B6884">
              <w:rPr>
                <w:rFonts w:ascii="Times New Roman" w:hAnsi="Times New Roman" w:cs="Times New Roman"/>
                <w:sz w:val="20"/>
                <w:szCs w:val="20"/>
              </w:rPr>
              <w:t xml:space="preserve">Curtailment policies and practices are components of the interdependency of the two markets </w:t>
            </w:r>
            <w:r w:rsidRPr="002D17A6">
              <w:rPr>
                <w:rFonts w:ascii="Times New Roman" w:hAnsi="Times New Roman" w:cs="Times New Roman"/>
                <w:sz w:val="20"/>
                <w:szCs w:val="20"/>
              </w:rPr>
              <w:t>that impacts harmonization.  Curtailment is interruption of service that has been scheduled.</w:t>
            </w:r>
          </w:p>
          <w:p w:rsidR="002D17A6" w:rsidRPr="002D17A6" w:rsidRDefault="004B6884" w:rsidP="002D17A6">
            <w:pPr>
              <w:spacing w:before="120" w:after="120" w:line="240" w:lineRule="auto"/>
              <w:rPr>
                <w:rFonts w:ascii="Times New Roman" w:hAnsi="Times New Roman" w:cs="Times New Roman"/>
                <w:sz w:val="20"/>
                <w:szCs w:val="20"/>
              </w:rPr>
            </w:pPr>
            <w:r w:rsidRPr="002D17A6">
              <w:rPr>
                <w:rFonts w:ascii="Times New Roman" w:hAnsi="Times New Roman" w:cs="Times New Roman"/>
                <w:sz w:val="20"/>
                <w:szCs w:val="20"/>
              </w:rPr>
              <w:t>Core Issue:</w:t>
            </w:r>
            <w:r w:rsidR="002D17A6" w:rsidRPr="002D17A6">
              <w:rPr>
                <w:rFonts w:ascii="Times New Roman" w:hAnsi="Times New Roman" w:cs="Times New Roman"/>
                <w:sz w:val="20"/>
                <w:szCs w:val="20"/>
              </w:rPr>
              <w:t xml:space="preserve">  </w:t>
            </w:r>
            <w:r w:rsidRPr="002D17A6">
              <w:rPr>
                <w:rFonts w:ascii="Times New Roman" w:hAnsi="Times New Roman" w:cs="Times New Roman"/>
                <w:sz w:val="20"/>
                <w:szCs w:val="20"/>
              </w:rPr>
              <w:t>Should NAESB examine</w:t>
            </w:r>
            <w:r w:rsidR="002D17A6" w:rsidRPr="002D17A6">
              <w:rPr>
                <w:rFonts w:ascii="Times New Roman" w:hAnsi="Times New Roman" w:cs="Times New Roman"/>
                <w:sz w:val="20"/>
                <w:szCs w:val="20"/>
              </w:rPr>
              <w:t>:</w:t>
            </w:r>
          </w:p>
          <w:p w:rsidR="002E5E3F" w:rsidRPr="002D17A6" w:rsidRDefault="002D17A6" w:rsidP="002D17A6">
            <w:pPr>
              <w:pStyle w:val="ListParagraph"/>
              <w:numPr>
                <w:ilvl w:val="0"/>
                <w:numId w:val="7"/>
              </w:numPr>
              <w:spacing w:before="120" w:after="120" w:line="240" w:lineRule="auto"/>
              <w:ind w:left="369" w:hanging="369"/>
              <w:rPr>
                <w:rFonts w:ascii="Times New Roman" w:eastAsia="Times New Roman" w:hAnsi="Times New Roman" w:cs="Times New Roman"/>
                <w:color w:val="000000"/>
                <w:sz w:val="20"/>
                <w:szCs w:val="20"/>
              </w:rPr>
            </w:pPr>
            <w:r w:rsidRPr="002D17A6">
              <w:rPr>
                <w:rFonts w:ascii="Times New Roman" w:hAnsi="Times New Roman" w:cs="Times New Roman"/>
                <w:bCs/>
                <w:color w:val="000000"/>
                <w:sz w:val="20"/>
                <w:szCs w:val="20"/>
              </w:rPr>
              <w:t xml:space="preserve">its existing </w:t>
            </w:r>
            <w:smartTag w:uri="urn:schemas-microsoft-com:office:smarttags" w:element="PersonName">
              <w:r w:rsidRPr="002D17A6">
                <w:rPr>
                  <w:rFonts w:ascii="Times New Roman" w:hAnsi="Times New Roman" w:cs="Times New Roman"/>
                  <w:bCs/>
                  <w:color w:val="000000"/>
                  <w:sz w:val="20"/>
                  <w:szCs w:val="20"/>
                </w:rPr>
                <w:t>stan</w:t>
              </w:r>
            </w:smartTag>
            <w:r w:rsidRPr="002D17A6">
              <w:rPr>
                <w:rFonts w:ascii="Times New Roman" w:hAnsi="Times New Roman" w:cs="Times New Roman"/>
                <w:bCs/>
                <w:color w:val="000000"/>
                <w:sz w:val="20"/>
                <w:szCs w:val="20"/>
              </w:rPr>
              <w:t>dards (</w:t>
            </w:r>
            <w:r w:rsidRPr="002D17A6">
              <w:rPr>
                <w:rFonts w:ascii="Times New Roman" w:hAnsi="Times New Roman" w:cs="Times New Roman"/>
                <w:color w:val="000000"/>
                <w:sz w:val="20"/>
                <w:szCs w:val="20"/>
              </w:rPr>
              <w:t xml:space="preserve">NAESB WGQ Standard No. 1.3.80) </w:t>
            </w:r>
            <w:r w:rsidRPr="002D17A6">
              <w:rPr>
                <w:rFonts w:ascii="Times New Roman" w:hAnsi="Times New Roman" w:cs="Times New Roman"/>
                <w:bCs/>
                <w:color w:val="000000"/>
                <w:sz w:val="20"/>
                <w:szCs w:val="20"/>
              </w:rPr>
              <w:t xml:space="preserve">or new </w:t>
            </w:r>
            <w:smartTag w:uri="urn:schemas-microsoft-com:office:smarttags" w:element="PersonName">
              <w:r w:rsidRPr="002D17A6">
                <w:rPr>
                  <w:rFonts w:ascii="Times New Roman" w:hAnsi="Times New Roman" w:cs="Times New Roman"/>
                  <w:bCs/>
                  <w:color w:val="000000"/>
                  <w:sz w:val="20"/>
                  <w:szCs w:val="20"/>
                </w:rPr>
                <w:t>stan</w:t>
              </w:r>
            </w:smartTag>
            <w:r w:rsidRPr="002D17A6">
              <w:rPr>
                <w:rFonts w:ascii="Times New Roman" w:hAnsi="Times New Roman" w:cs="Times New Roman"/>
                <w:bCs/>
                <w:color w:val="000000"/>
                <w:sz w:val="20"/>
                <w:szCs w:val="20"/>
              </w:rPr>
              <w:t>dards to support the movement of natural gas to electric generation and conversely, electricity to natural gas pipelines to better respond to situations of curtailment and involuntarily interruptions of service (improving capacity release program is an example).</w:t>
            </w:r>
          </w:p>
        </w:tc>
        <w:tc>
          <w:tcPr>
            <w:tcW w:w="888" w:type="dxa"/>
            <w:tcBorders>
              <w:top w:val="single" w:sz="4" w:space="0" w:color="auto"/>
              <w:left w:val="nil"/>
              <w:bottom w:val="single" w:sz="4" w:space="0" w:color="auto"/>
              <w:right w:val="single" w:sz="4" w:space="0" w:color="auto"/>
            </w:tcBorders>
            <w:shd w:val="clear" w:color="auto" w:fill="auto"/>
            <w:noWrap/>
          </w:tcPr>
          <w:p w:rsidR="004B6884" w:rsidRPr="00AB210E" w:rsidRDefault="004B6884" w:rsidP="002D17A6">
            <w:pPr>
              <w:spacing w:before="120" w:after="120" w:line="240" w:lineRule="auto"/>
              <w:jc w:val="center"/>
              <w:rPr>
                <w:rFonts w:ascii="Times New Roman" w:eastAsia="Times New Roman" w:hAnsi="Times New Roman" w:cs="Times New Roman"/>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tcPr>
          <w:p w:rsidR="004B6884" w:rsidRPr="00AB210E" w:rsidRDefault="004B6884" w:rsidP="002D17A6">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rsidR="004B6884" w:rsidRPr="00AB210E" w:rsidRDefault="004B6884" w:rsidP="002D17A6">
            <w:pPr>
              <w:spacing w:before="120" w:after="120" w:line="240" w:lineRule="auto"/>
              <w:jc w:val="center"/>
              <w:rPr>
                <w:rFonts w:ascii="Times New Roman" w:eastAsia="Times New Roman" w:hAnsi="Times New Roman" w:cs="Times New Roman"/>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noWrap/>
          </w:tcPr>
          <w:p w:rsidR="004B6884" w:rsidRPr="00AB210E" w:rsidRDefault="004B6884" w:rsidP="002D17A6">
            <w:pPr>
              <w:spacing w:before="120" w:after="120" w:line="240" w:lineRule="auto"/>
              <w:jc w:val="center"/>
              <w:rPr>
                <w:rFonts w:ascii="Times New Roman" w:eastAsia="Times New Roman" w:hAnsi="Times New Roman" w:cs="Times New Roman"/>
                <w:color w:val="000000"/>
                <w:sz w:val="20"/>
                <w:szCs w:val="20"/>
              </w:rPr>
            </w:pPr>
          </w:p>
        </w:tc>
        <w:tc>
          <w:tcPr>
            <w:tcW w:w="1172" w:type="dxa"/>
            <w:tcBorders>
              <w:top w:val="single" w:sz="4" w:space="0" w:color="auto"/>
              <w:left w:val="nil"/>
              <w:bottom w:val="single" w:sz="4" w:space="0" w:color="auto"/>
              <w:right w:val="single" w:sz="4" w:space="0" w:color="auto"/>
            </w:tcBorders>
            <w:shd w:val="clear" w:color="auto" w:fill="auto"/>
            <w:noWrap/>
          </w:tcPr>
          <w:p w:rsidR="004B6884" w:rsidRPr="00AB210E" w:rsidRDefault="004B6884" w:rsidP="002D17A6">
            <w:pPr>
              <w:spacing w:before="120" w:after="120" w:line="240" w:lineRule="auto"/>
              <w:jc w:val="center"/>
              <w:rPr>
                <w:rFonts w:ascii="Times New Roman" w:eastAsia="Times New Roman" w:hAnsi="Times New Roman" w:cs="Times New Roman"/>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noWrap/>
          </w:tcPr>
          <w:p w:rsidR="004B6884" w:rsidRPr="00AB210E" w:rsidRDefault="004B6884" w:rsidP="002D17A6">
            <w:pPr>
              <w:spacing w:before="120" w:after="120" w:line="240" w:lineRule="auto"/>
              <w:jc w:val="center"/>
              <w:rPr>
                <w:rFonts w:ascii="Times New Roman" w:eastAsia="Times New Roman" w:hAnsi="Times New Roman" w:cs="Times New Roman"/>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noWrap/>
          </w:tcPr>
          <w:p w:rsidR="004B6884" w:rsidRPr="00AB210E" w:rsidRDefault="004B6884" w:rsidP="002D17A6">
            <w:pPr>
              <w:spacing w:before="120" w:after="120" w:line="240" w:lineRule="auto"/>
              <w:jc w:val="center"/>
              <w:rPr>
                <w:rFonts w:ascii="Times New Roman" w:eastAsia="Times New Roman" w:hAnsi="Times New Roman" w:cs="Times New Roman"/>
                <w:color w:val="000000"/>
                <w:sz w:val="20"/>
                <w:szCs w:val="20"/>
              </w:rPr>
            </w:pPr>
          </w:p>
        </w:tc>
      </w:tr>
      <w:tr w:rsidR="00411012" w:rsidRPr="00AB210E" w:rsidTr="00602F2F">
        <w:trPr>
          <w:trHeight w:val="1065"/>
          <w:jc w:val="right"/>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3-1</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Generators can introduce flexibility through the use of reserves and ancillary services, which is determined through regionally based decisions and considered part of market design.</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r>
      <w:tr w:rsidR="00411012" w:rsidRPr="00AB210E" w:rsidTr="004B6884">
        <w:trPr>
          <w:trHeight w:val="2627"/>
          <w:jc w:val="right"/>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3-2</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Most pipelines already offer a park-and-loan service that uses linepack in meeting intermittent capacity requirements and provides for greater market flexibility.  The flexibility provided by the use of non-ratable takes is made possible through the use of linepack.  Linepack however may not be suitable to address issues that arise in peak day demand conditions for generators that have not already contracted for park-and-loan service or non-ratable takes. Taking linepack can impact the pipeline’s deliverability and cause the pipeline to shut down the unauthorized party to preserve the reliability of the system.  In addition, there may well be occasions when linepack is fully utilized to support other pipeline operations.</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4C2519">
        <w:trPr>
          <w:trHeight w:val="467"/>
          <w:jc w:val="right"/>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lastRenderedPageBreak/>
              <w:t>3-3</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pStyle w:val="Title"/>
              <w:spacing w:before="120" w:after="120"/>
              <w:jc w:val="left"/>
              <w:rPr>
                <w:rFonts w:ascii="Times New Roman" w:hAnsi="Times New Roman"/>
                <w:b w:val="0"/>
                <w:bCs w:val="0"/>
                <w:sz w:val="20"/>
                <w:szCs w:val="20"/>
              </w:rPr>
            </w:pPr>
            <w:r w:rsidRPr="000A5890">
              <w:rPr>
                <w:rFonts w:ascii="Times New Roman" w:hAnsi="Times New Roman"/>
                <w:b w:val="0"/>
                <w:bCs w:val="0"/>
                <w:sz w:val="20"/>
                <w:szCs w:val="20"/>
              </w:rPr>
              <w:t xml:space="preserve">Knowing the status on dispatchable generation and pipeline capacity can be important in decisions to modify planned outages scheduled for gas-fired facilities, transmission, and pipelines.   The information is also crucial in addressing unplanned outages.  However, it is not clear how this impacts gas-electric market harmonization, </w:t>
            </w:r>
          </w:p>
          <w:p w:rsidR="00411012" w:rsidRDefault="00411012" w:rsidP="002D17A6">
            <w:pPr>
              <w:pStyle w:val="Title"/>
              <w:spacing w:before="120" w:after="120"/>
              <w:jc w:val="left"/>
              <w:rPr>
                <w:rFonts w:ascii="Times New Roman" w:hAnsi="Times New Roman"/>
                <w:b w:val="0"/>
                <w:bCs w:val="0"/>
                <w:sz w:val="20"/>
                <w:szCs w:val="20"/>
              </w:rPr>
            </w:pPr>
            <w:r w:rsidRPr="000A5890">
              <w:rPr>
                <w:rFonts w:ascii="Times New Roman" w:hAnsi="Times New Roman"/>
                <w:b w:val="0"/>
                <w:bCs w:val="0"/>
                <w:sz w:val="20"/>
                <w:szCs w:val="20"/>
              </w:rPr>
              <w:t xml:space="preserve">Entities responsible for balancing electricity supply and demand need improved overall situational awareness of the potential impacts of pipeline operations.  This includes ensuring sufficient notice of scheduled outages on natural gas pipelines; balancing authority knowledge regarding those entities that can be impacted by pipeline outages; and understanding between the balancing authority and the generator regarding the impact of a pipeline outage to generator operations. </w:t>
            </w:r>
          </w:p>
          <w:p w:rsidR="00411012" w:rsidRPr="000A5890" w:rsidRDefault="00411012" w:rsidP="002D17A6">
            <w:pPr>
              <w:pStyle w:val="Title"/>
              <w:spacing w:before="120" w:after="120"/>
              <w:jc w:val="left"/>
              <w:rPr>
                <w:rFonts w:ascii="Times New Roman" w:hAnsi="Times New Roman"/>
                <w:b w:val="0"/>
                <w:bCs w:val="0"/>
                <w:sz w:val="20"/>
                <w:szCs w:val="20"/>
              </w:rPr>
            </w:pPr>
            <w:r w:rsidRPr="000A5890">
              <w:rPr>
                <w:rFonts w:ascii="Times New Roman" w:hAnsi="Times New Roman"/>
                <w:b w:val="0"/>
                <w:bCs w:val="0"/>
                <w:sz w:val="20"/>
                <w:szCs w:val="20"/>
              </w:rPr>
              <w:t>Similarly, pipeline and storage operators as well as LDC with gas generation behind their citygate need improved overall situational awareness of the potential impacts on their operations from planned or unplanned generation or transmission outages, expected changes in electricity demand, and expected changes is renewable generation and the potential impact on gas generation requirements. This includes ensuring sufficient notice of likely impacts on gas generation served by the pipeline, storage or LDC.</w:t>
            </w:r>
          </w:p>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hAnsi="Times New Roman" w:cs="Times New Roman"/>
                <w:bCs/>
                <w:sz w:val="20"/>
                <w:szCs w:val="20"/>
              </w:rPr>
              <w:t>Nonetheless, public disclosure of information of this type could have unintended anti-competitive inter-fuel impacts.</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xml:space="preserve">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2D17A6">
        <w:trPr>
          <w:trHeight w:val="359"/>
          <w:jc w:val="right"/>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3-4</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 xml:space="preserve">When determining actions to be taken by electric service providers in curtailment conditions, the information on critical infrastructure is needed.  That information includes electric compressor locations for </w:t>
            </w:r>
            <w:r w:rsidRPr="000A5890">
              <w:rPr>
                <w:rFonts w:ascii="Times New Roman" w:eastAsia="Times New Roman" w:hAnsi="Times New Roman" w:cs="Times New Roman"/>
                <w:color w:val="000000"/>
                <w:sz w:val="20"/>
                <w:szCs w:val="20"/>
              </w:rPr>
              <w:lastRenderedPageBreak/>
              <w:t>those interstate and intrastate pipelines’ that use electric compressors, electric compressor locations for those LDCs that use electric compressors, gas processors’ locations that use grid or utility provided electricity to maintain operations,  storage operators locations that use grid or utility provided electricity to maintain operations, other locations that require electricity to maintain flow measurement and flow management/control would be helpful.</w:t>
            </w:r>
          </w:p>
        </w:tc>
        <w:tc>
          <w:tcPr>
            <w:tcW w:w="888" w:type="dxa"/>
            <w:tcBorders>
              <w:top w:val="single" w:sz="4" w:space="0" w:color="auto"/>
              <w:left w:val="nil"/>
              <w:bottom w:val="single" w:sz="4" w:space="0" w:color="auto"/>
              <w:right w:val="single" w:sz="4" w:space="0" w:color="auto"/>
            </w:tcBorders>
            <w:shd w:val="clear" w:color="auto" w:fill="auto"/>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lastRenderedPageBreak/>
              <w:t xml:space="preserve">X [state, </w:t>
            </w:r>
            <w:r w:rsidRPr="00AB210E">
              <w:rPr>
                <w:rFonts w:ascii="Times New Roman" w:eastAsia="Times New Roman" w:hAnsi="Times New Roman" w:cs="Times New Roman"/>
                <w:color w:val="000000"/>
                <w:sz w:val="20"/>
                <w:szCs w:val="20"/>
              </w:rPr>
              <w:lastRenderedPageBreak/>
              <w:t>federal]</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lastRenderedPageBreak/>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nil"/>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4B6884">
        <w:trPr>
          <w:trHeight w:val="1160"/>
          <w:jc w:val="right"/>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lastRenderedPageBreak/>
              <w:t>3-5</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 xml:space="preserve">In imminent stress conditions leading to possible curtailments of firm service or interruption of balance of power deliveries, identification of the gas-fired generators to run, when they are going to run, and the contractual rights for needed capacity is information that is helpful to the decision making entities in both markets.  </w:t>
            </w:r>
          </w:p>
        </w:tc>
        <w:tc>
          <w:tcPr>
            <w:tcW w:w="888" w:type="dxa"/>
            <w:tcBorders>
              <w:top w:val="single" w:sz="4" w:space="0" w:color="auto"/>
              <w:left w:val="nil"/>
              <w:bottom w:val="single" w:sz="4" w:space="0" w:color="auto"/>
              <w:right w:val="single" w:sz="4" w:space="0" w:color="auto"/>
            </w:tcBorders>
            <w:shd w:val="clear" w:color="auto" w:fill="auto"/>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 [state, federal]</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602F2F">
        <w:trPr>
          <w:trHeight w:val="1140"/>
          <w:jc w:val="right"/>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3-6</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The decisions made as the two markets work together should focus on how best to serve the customer and balance the cost of delivered power against the assurance that firm service is not interrupted on days experiencing peak day conditions or other stress conditions.</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r>
      <w:tr w:rsidR="00411012" w:rsidRPr="00AB210E" w:rsidTr="00602F2F">
        <w:trPr>
          <w:trHeight w:val="2400"/>
          <w:jc w:val="right"/>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3-7</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Supply curtailment policies at the state level may need review, as well as state commissions’ use of base gas instead of operational capacity to address shortages.  Some generators may purchase gas from LDCs, and even those that purchase their own gas may be behind an LDC citygate and its transportation policies.  LDCs may use end use curtailment to support residential demand.   Storage factors into curtailment policies if it is behind the city gate, and may relieve constraints that could occur during peak periods.</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 [state]</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2E5E3F">
        <w:trPr>
          <w:trHeight w:val="386"/>
          <w:jc w:val="right"/>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lastRenderedPageBreak/>
              <w:t>3-8</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[Deleted – combined with observation 3-3.]</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xml:space="preserve">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602F2F" w:rsidRPr="00AB210E" w:rsidTr="00602F2F">
        <w:trPr>
          <w:trHeight w:val="135"/>
          <w:jc w:val="right"/>
        </w:trPr>
        <w:tc>
          <w:tcPr>
            <w:tcW w:w="1194" w:type="dxa"/>
            <w:tcBorders>
              <w:top w:val="single" w:sz="4" w:space="0" w:color="auto"/>
              <w:left w:val="single" w:sz="4" w:space="0" w:color="auto"/>
              <w:bottom w:val="single" w:sz="4" w:space="0" w:color="auto"/>
              <w:right w:val="single" w:sz="4" w:space="0" w:color="auto"/>
            </w:tcBorders>
            <w:shd w:val="clear" w:color="000000" w:fill="D9D9D9"/>
            <w:noWrap/>
            <w:hideMark/>
          </w:tcPr>
          <w:p w:rsidR="00602F2F" w:rsidRPr="00AB210E" w:rsidRDefault="00602F2F" w:rsidP="002D17A6">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5956" w:type="dxa"/>
            <w:tcBorders>
              <w:top w:val="single" w:sz="4" w:space="0" w:color="auto"/>
              <w:left w:val="nil"/>
              <w:bottom w:val="single" w:sz="4" w:space="0" w:color="auto"/>
              <w:right w:val="single" w:sz="4" w:space="0" w:color="auto"/>
            </w:tcBorders>
            <w:shd w:val="clear" w:color="000000" w:fill="D9D9D9"/>
            <w:hideMark/>
          </w:tcPr>
          <w:p w:rsidR="00602F2F" w:rsidRPr="00AB210E" w:rsidRDefault="00602F2F" w:rsidP="002D17A6">
            <w:pPr>
              <w:spacing w:before="120" w:after="120" w:line="240" w:lineRule="auto"/>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888" w:type="dxa"/>
            <w:tcBorders>
              <w:top w:val="single" w:sz="4" w:space="0" w:color="auto"/>
              <w:left w:val="nil"/>
              <w:bottom w:val="single" w:sz="4" w:space="0" w:color="auto"/>
              <w:right w:val="single" w:sz="4" w:space="0" w:color="auto"/>
            </w:tcBorders>
            <w:shd w:val="clear" w:color="000000" w:fill="D9D9D9"/>
            <w:noWrap/>
            <w:hideMark/>
          </w:tcPr>
          <w:p w:rsidR="00602F2F" w:rsidRPr="00AB210E" w:rsidRDefault="00602F2F"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000000" w:fill="D9D9D9"/>
            <w:noWrap/>
            <w:hideMark/>
          </w:tcPr>
          <w:p w:rsidR="00602F2F" w:rsidRPr="00AB210E" w:rsidRDefault="00602F2F"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000000" w:fill="D9D9D9"/>
            <w:noWrap/>
            <w:hideMark/>
          </w:tcPr>
          <w:p w:rsidR="00602F2F" w:rsidRPr="00AB210E" w:rsidRDefault="00602F2F"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000000" w:fill="D9D9D9"/>
            <w:noWrap/>
            <w:hideMark/>
          </w:tcPr>
          <w:p w:rsidR="00602F2F" w:rsidRPr="00AB210E" w:rsidRDefault="00602F2F"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000000" w:fill="D9D9D9"/>
            <w:noWrap/>
            <w:hideMark/>
          </w:tcPr>
          <w:p w:rsidR="00602F2F" w:rsidRPr="00AB210E" w:rsidRDefault="00602F2F"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000000" w:fill="D9D9D9"/>
            <w:noWrap/>
            <w:hideMark/>
          </w:tcPr>
          <w:p w:rsidR="00602F2F" w:rsidRPr="00AB210E" w:rsidRDefault="00602F2F"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000000" w:fill="D9D9D9"/>
            <w:noWrap/>
            <w:hideMark/>
          </w:tcPr>
          <w:p w:rsidR="00602F2F" w:rsidRPr="00AB210E" w:rsidRDefault="00602F2F"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2E5E3F" w:rsidRPr="00AB210E" w:rsidTr="00E62D4E">
        <w:trPr>
          <w:trHeight w:val="1920"/>
          <w:jc w:val="right"/>
        </w:trPr>
        <w:tc>
          <w:tcPr>
            <w:tcW w:w="7150" w:type="dxa"/>
            <w:gridSpan w:val="2"/>
            <w:tcBorders>
              <w:top w:val="single" w:sz="4" w:space="0" w:color="auto"/>
              <w:left w:val="single" w:sz="4" w:space="0" w:color="auto"/>
              <w:bottom w:val="single" w:sz="4" w:space="0" w:color="auto"/>
              <w:right w:val="single" w:sz="4" w:space="0" w:color="auto"/>
            </w:tcBorders>
            <w:shd w:val="clear" w:color="000000" w:fill="FFFFFF"/>
            <w:noWrap/>
          </w:tcPr>
          <w:p w:rsidR="00742DD2" w:rsidRPr="002D17A6" w:rsidRDefault="00742DD2" w:rsidP="002D17A6">
            <w:pPr>
              <w:pStyle w:val="Title"/>
              <w:spacing w:before="120" w:after="120"/>
              <w:jc w:val="left"/>
              <w:rPr>
                <w:rFonts w:ascii="Times New Roman" w:hAnsi="Times New Roman"/>
                <w:smallCaps/>
                <w:sz w:val="20"/>
                <w:szCs w:val="20"/>
              </w:rPr>
            </w:pPr>
            <w:r w:rsidRPr="00742DD2">
              <w:rPr>
                <w:rFonts w:ascii="Times New Roman" w:hAnsi="Times New Roman"/>
                <w:smallCaps/>
                <w:sz w:val="20"/>
                <w:szCs w:val="20"/>
              </w:rPr>
              <w:t xml:space="preserve">4.  </w:t>
            </w:r>
            <w:r w:rsidRPr="002D17A6">
              <w:rPr>
                <w:rFonts w:ascii="Times New Roman" w:hAnsi="Times New Roman"/>
                <w:smallCaps/>
                <w:sz w:val="20"/>
                <w:szCs w:val="20"/>
              </w:rPr>
              <w:t>Observations and Core Issues as of April 24, 2012 :</w:t>
            </w:r>
          </w:p>
          <w:p w:rsidR="002E5E3F" w:rsidRPr="002D17A6" w:rsidRDefault="00742DD2" w:rsidP="002D17A6">
            <w:pPr>
              <w:spacing w:before="120" w:after="120" w:line="240" w:lineRule="auto"/>
              <w:rPr>
                <w:rFonts w:ascii="Times New Roman" w:hAnsi="Times New Roman" w:cs="Times New Roman"/>
                <w:sz w:val="20"/>
                <w:szCs w:val="20"/>
              </w:rPr>
            </w:pPr>
            <w:r w:rsidRPr="002D17A6">
              <w:rPr>
                <w:rFonts w:ascii="Times New Roman" w:hAnsi="Times New Roman" w:cs="Times New Roman"/>
                <w:sz w:val="20"/>
                <w:szCs w:val="20"/>
              </w:rPr>
              <w:t>Additional and more formal structure for communications of the parties in the gas and electric markets is needed, particularly for unanticipated demand situations.</w:t>
            </w:r>
          </w:p>
          <w:p w:rsidR="002D17A6" w:rsidRPr="002D17A6" w:rsidRDefault="002D17A6" w:rsidP="002D17A6">
            <w:pPr>
              <w:spacing w:before="120" w:after="120" w:line="240" w:lineRule="auto"/>
              <w:rPr>
                <w:rFonts w:ascii="Times New Roman" w:hAnsi="Times New Roman" w:cs="Times New Roman"/>
                <w:bCs/>
                <w:color w:val="000000"/>
                <w:sz w:val="20"/>
                <w:szCs w:val="20"/>
              </w:rPr>
            </w:pPr>
            <w:r w:rsidRPr="002D17A6">
              <w:rPr>
                <w:rFonts w:ascii="Times New Roman" w:hAnsi="Times New Roman" w:cs="Times New Roman"/>
                <w:bCs/>
                <w:color w:val="000000"/>
                <w:sz w:val="20"/>
                <w:szCs w:val="20"/>
              </w:rPr>
              <w:t xml:space="preserve">Core Issue: Should NAESB examine: </w:t>
            </w:r>
          </w:p>
          <w:p w:rsidR="00742DD2" w:rsidRPr="002D17A6" w:rsidRDefault="002D17A6" w:rsidP="002D17A6">
            <w:pPr>
              <w:pStyle w:val="ListParagraph"/>
              <w:numPr>
                <w:ilvl w:val="0"/>
                <w:numId w:val="8"/>
              </w:numPr>
              <w:spacing w:before="120" w:after="120" w:line="240" w:lineRule="auto"/>
              <w:ind w:left="369" w:hanging="270"/>
              <w:rPr>
                <w:rFonts w:ascii="Times New Roman" w:eastAsia="Times New Roman" w:hAnsi="Times New Roman" w:cs="Times New Roman"/>
                <w:color w:val="000000"/>
                <w:sz w:val="20"/>
                <w:szCs w:val="20"/>
              </w:rPr>
            </w:pPr>
            <w:r w:rsidRPr="002D17A6">
              <w:rPr>
                <w:rFonts w:ascii="Times New Roman" w:hAnsi="Times New Roman" w:cs="Times New Roman"/>
                <w:bCs/>
                <w:color w:val="000000"/>
                <w:sz w:val="20"/>
                <w:szCs w:val="20"/>
              </w:rPr>
              <w:t>a more comprehensive approach to communications between the two markets and among participants in each of the markets as the communications impact the interdependency of the markets</w:t>
            </w:r>
          </w:p>
        </w:tc>
        <w:tc>
          <w:tcPr>
            <w:tcW w:w="888" w:type="dxa"/>
            <w:tcBorders>
              <w:top w:val="single" w:sz="4" w:space="0" w:color="auto"/>
              <w:left w:val="nil"/>
              <w:bottom w:val="single" w:sz="4" w:space="0" w:color="auto"/>
              <w:right w:val="single" w:sz="4" w:space="0" w:color="auto"/>
            </w:tcBorders>
            <w:shd w:val="clear" w:color="000000" w:fill="FFFFFF"/>
            <w:noWrap/>
          </w:tcPr>
          <w:p w:rsidR="002E5E3F" w:rsidRPr="00AB210E" w:rsidRDefault="002E5E3F" w:rsidP="002D17A6">
            <w:pPr>
              <w:spacing w:before="120" w:after="120" w:line="240" w:lineRule="auto"/>
              <w:jc w:val="center"/>
              <w:rPr>
                <w:rFonts w:ascii="Times New Roman" w:eastAsia="Times New Roman" w:hAnsi="Times New Roman" w:cs="Times New Roman"/>
                <w:color w:val="000000"/>
                <w:sz w:val="20"/>
                <w:szCs w:val="20"/>
              </w:rPr>
            </w:pPr>
          </w:p>
        </w:tc>
        <w:tc>
          <w:tcPr>
            <w:tcW w:w="990" w:type="dxa"/>
            <w:tcBorders>
              <w:top w:val="single" w:sz="4" w:space="0" w:color="auto"/>
              <w:left w:val="nil"/>
              <w:bottom w:val="single" w:sz="4" w:space="0" w:color="auto"/>
              <w:right w:val="single" w:sz="4" w:space="0" w:color="auto"/>
            </w:tcBorders>
            <w:shd w:val="clear" w:color="000000" w:fill="FFFFFF"/>
            <w:noWrap/>
          </w:tcPr>
          <w:p w:rsidR="002E5E3F" w:rsidRPr="00AB210E" w:rsidRDefault="002E5E3F" w:rsidP="002D17A6">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000000" w:fill="FFFFFF"/>
            <w:noWrap/>
          </w:tcPr>
          <w:p w:rsidR="002E5E3F" w:rsidRPr="00AB210E" w:rsidRDefault="002E5E3F" w:rsidP="002D17A6">
            <w:pPr>
              <w:spacing w:before="120" w:after="120" w:line="240" w:lineRule="auto"/>
              <w:jc w:val="center"/>
              <w:rPr>
                <w:rFonts w:ascii="Times New Roman" w:eastAsia="Times New Roman" w:hAnsi="Times New Roman" w:cs="Times New Roman"/>
                <w:color w:val="000000"/>
                <w:sz w:val="20"/>
                <w:szCs w:val="20"/>
              </w:rPr>
            </w:pPr>
          </w:p>
        </w:tc>
        <w:tc>
          <w:tcPr>
            <w:tcW w:w="1080" w:type="dxa"/>
            <w:tcBorders>
              <w:top w:val="single" w:sz="4" w:space="0" w:color="auto"/>
              <w:left w:val="nil"/>
              <w:bottom w:val="single" w:sz="4" w:space="0" w:color="auto"/>
              <w:right w:val="single" w:sz="4" w:space="0" w:color="auto"/>
            </w:tcBorders>
            <w:shd w:val="clear" w:color="000000" w:fill="FFFFFF"/>
            <w:noWrap/>
          </w:tcPr>
          <w:p w:rsidR="002E5E3F" w:rsidRPr="00AB210E" w:rsidRDefault="002E5E3F" w:rsidP="002D17A6">
            <w:pPr>
              <w:spacing w:before="120" w:after="120" w:line="240" w:lineRule="auto"/>
              <w:jc w:val="center"/>
              <w:rPr>
                <w:rFonts w:ascii="Times New Roman" w:eastAsia="Times New Roman" w:hAnsi="Times New Roman" w:cs="Times New Roman"/>
                <w:color w:val="000000"/>
                <w:sz w:val="20"/>
                <w:szCs w:val="20"/>
              </w:rPr>
            </w:pPr>
          </w:p>
        </w:tc>
        <w:tc>
          <w:tcPr>
            <w:tcW w:w="1172" w:type="dxa"/>
            <w:tcBorders>
              <w:top w:val="single" w:sz="4" w:space="0" w:color="auto"/>
              <w:left w:val="nil"/>
              <w:bottom w:val="single" w:sz="4" w:space="0" w:color="auto"/>
              <w:right w:val="single" w:sz="4" w:space="0" w:color="auto"/>
            </w:tcBorders>
            <w:shd w:val="clear" w:color="000000" w:fill="FFFFFF"/>
            <w:noWrap/>
          </w:tcPr>
          <w:p w:rsidR="002E5E3F" w:rsidRPr="00AB210E" w:rsidRDefault="002E5E3F" w:rsidP="002D17A6">
            <w:pPr>
              <w:spacing w:before="120" w:after="120" w:line="240" w:lineRule="auto"/>
              <w:jc w:val="center"/>
              <w:rPr>
                <w:rFonts w:ascii="Times New Roman" w:eastAsia="Times New Roman" w:hAnsi="Times New Roman" w:cs="Times New Roman"/>
                <w:color w:val="000000"/>
                <w:sz w:val="20"/>
                <w:szCs w:val="20"/>
              </w:rPr>
            </w:pPr>
          </w:p>
        </w:tc>
        <w:tc>
          <w:tcPr>
            <w:tcW w:w="990" w:type="dxa"/>
            <w:tcBorders>
              <w:top w:val="single" w:sz="4" w:space="0" w:color="auto"/>
              <w:left w:val="nil"/>
              <w:bottom w:val="single" w:sz="4" w:space="0" w:color="auto"/>
              <w:right w:val="single" w:sz="4" w:space="0" w:color="auto"/>
            </w:tcBorders>
            <w:shd w:val="clear" w:color="000000" w:fill="FFFFFF"/>
            <w:noWrap/>
          </w:tcPr>
          <w:p w:rsidR="002E5E3F" w:rsidRPr="00AB210E" w:rsidRDefault="002E5E3F" w:rsidP="002D17A6">
            <w:pPr>
              <w:spacing w:before="120" w:after="120" w:line="240" w:lineRule="auto"/>
              <w:jc w:val="center"/>
              <w:rPr>
                <w:rFonts w:ascii="Times New Roman" w:eastAsia="Times New Roman" w:hAnsi="Times New Roman" w:cs="Times New Roman"/>
                <w:color w:val="000000"/>
                <w:sz w:val="20"/>
                <w:szCs w:val="20"/>
              </w:rPr>
            </w:pPr>
          </w:p>
        </w:tc>
        <w:tc>
          <w:tcPr>
            <w:tcW w:w="1260" w:type="dxa"/>
            <w:tcBorders>
              <w:top w:val="single" w:sz="4" w:space="0" w:color="auto"/>
              <w:left w:val="nil"/>
              <w:bottom w:val="single" w:sz="4" w:space="0" w:color="auto"/>
              <w:right w:val="single" w:sz="4" w:space="0" w:color="auto"/>
            </w:tcBorders>
            <w:shd w:val="clear" w:color="000000" w:fill="FFFFFF"/>
            <w:noWrap/>
          </w:tcPr>
          <w:p w:rsidR="002E5E3F" w:rsidRPr="00AB210E" w:rsidRDefault="002E5E3F" w:rsidP="002D17A6">
            <w:pPr>
              <w:spacing w:before="120" w:after="120" w:line="240" w:lineRule="auto"/>
              <w:jc w:val="center"/>
              <w:rPr>
                <w:rFonts w:ascii="Times New Roman" w:eastAsia="Times New Roman" w:hAnsi="Times New Roman" w:cs="Times New Roman"/>
                <w:color w:val="000000"/>
                <w:sz w:val="20"/>
                <w:szCs w:val="20"/>
              </w:rPr>
            </w:pPr>
          </w:p>
        </w:tc>
      </w:tr>
      <w:tr w:rsidR="00411012" w:rsidRPr="00AB210E" w:rsidTr="00742DD2">
        <w:trPr>
          <w:trHeight w:val="1691"/>
          <w:jc w:val="right"/>
        </w:trPr>
        <w:tc>
          <w:tcPr>
            <w:tcW w:w="1194" w:type="dxa"/>
            <w:tcBorders>
              <w:top w:val="single" w:sz="4" w:space="0" w:color="auto"/>
              <w:left w:val="single" w:sz="4" w:space="0" w:color="auto"/>
              <w:bottom w:val="single" w:sz="4" w:space="0" w:color="auto"/>
              <w:right w:val="single" w:sz="4" w:space="0" w:color="auto"/>
            </w:tcBorders>
            <w:shd w:val="clear" w:color="000000" w:fill="FFFFFF"/>
            <w:noWrap/>
            <w:hideMark/>
          </w:tcPr>
          <w:p w:rsidR="00411012" w:rsidRPr="000A5890" w:rsidRDefault="00411012" w:rsidP="002D17A6">
            <w:pPr>
              <w:keepNext/>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4-0</w:t>
            </w:r>
          </w:p>
        </w:tc>
        <w:tc>
          <w:tcPr>
            <w:tcW w:w="5956" w:type="dxa"/>
            <w:tcBorders>
              <w:top w:val="single" w:sz="4" w:space="0" w:color="auto"/>
              <w:left w:val="nil"/>
              <w:bottom w:val="single" w:sz="4" w:space="0" w:color="auto"/>
              <w:right w:val="single" w:sz="4" w:space="0" w:color="auto"/>
            </w:tcBorders>
            <w:shd w:val="clear" w:color="000000" w:fill="FFFFFF"/>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 xml:space="preserve">As information is made available to support market transparency and decision making that enhances market interoperability, care should be taken that the needed confidentiality is preserved so that anti-competitive aspects are not introduced.  The purpose of the information, who provides the information, who accesses the information, and how the information is presented, should be analyzed to ensure that the needed confidentiality is preserved. </w:t>
            </w:r>
          </w:p>
        </w:tc>
        <w:tc>
          <w:tcPr>
            <w:tcW w:w="888" w:type="dxa"/>
            <w:tcBorders>
              <w:top w:val="single" w:sz="4" w:space="0" w:color="auto"/>
              <w:left w:val="nil"/>
              <w:bottom w:val="single" w:sz="4" w:space="0" w:color="auto"/>
              <w:right w:val="single" w:sz="4" w:space="0" w:color="auto"/>
            </w:tcBorders>
            <w:shd w:val="clear" w:color="000000" w:fill="FFFFFF"/>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000000" w:fill="FFFFFF"/>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080" w:type="dxa"/>
            <w:tcBorders>
              <w:top w:val="single" w:sz="4" w:space="0" w:color="auto"/>
              <w:left w:val="nil"/>
              <w:bottom w:val="single" w:sz="4" w:space="0" w:color="auto"/>
              <w:right w:val="single" w:sz="4" w:space="0" w:color="auto"/>
            </w:tcBorders>
            <w:shd w:val="clear" w:color="000000" w:fill="FFFFFF"/>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000000" w:fill="FFFFFF"/>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000000" w:fill="FFFFFF"/>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742DD2">
        <w:trPr>
          <w:trHeight w:val="710"/>
          <w:jc w:val="right"/>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4-1</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Communication and associated procedures may support the development of decision enabling tools with respect to day-of service, that may support efforts for contingency response.</w:t>
            </w:r>
          </w:p>
        </w:tc>
        <w:tc>
          <w:tcPr>
            <w:tcW w:w="888" w:type="dxa"/>
            <w:tcBorders>
              <w:top w:val="single" w:sz="4" w:space="0" w:color="auto"/>
              <w:left w:val="nil"/>
              <w:bottom w:val="single" w:sz="4" w:space="0" w:color="auto"/>
              <w:right w:val="single" w:sz="4" w:space="0" w:color="auto"/>
            </w:tcBorders>
            <w:shd w:val="clear" w:color="000000" w:fill="FFFFFF"/>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000000" w:fill="FFFFFF"/>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000000" w:fill="FFFFFF"/>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080" w:type="dxa"/>
            <w:tcBorders>
              <w:top w:val="single" w:sz="4" w:space="0" w:color="auto"/>
              <w:left w:val="nil"/>
              <w:bottom w:val="single" w:sz="4" w:space="0" w:color="auto"/>
              <w:right w:val="single" w:sz="4" w:space="0" w:color="auto"/>
            </w:tcBorders>
            <w:shd w:val="clear" w:color="000000" w:fill="FFFFFF"/>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000000" w:fill="FFFFFF"/>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742DD2">
        <w:trPr>
          <w:trHeight w:val="980"/>
          <w:jc w:val="right"/>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lastRenderedPageBreak/>
              <w:t>4-2</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Nuclear Power Plant Communications (Report 16, Nuclear Plant Interface Coordination – Standard NUC-001-2, NERC, April 2010, http://www.nerc.com/files/NUC-001-2.pdf) could be used as a template for a more formal structure for communications.</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742DD2">
        <w:trPr>
          <w:trHeight w:val="440"/>
          <w:jc w:val="right"/>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4-3</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 xml:space="preserve"> [Deleted – replaced by 4-0.]</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742DD2">
        <w:trPr>
          <w:trHeight w:val="980"/>
          <w:jc w:val="right"/>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4-4</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An information clearinghouse may be considered as a mechanism for accessing posted information and providing information to be posted, as not all electric utilities are represented by ISOs and RTOs, who as regional entities can provide a similar function to their stakeholders.</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742DD2">
        <w:trPr>
          <w:trHeight w:val="1880"/>
          <w:jc w:val="right"/>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4-5</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Under FERC Order No. 698, mechanisms are in place to provide information between the pipelines and gas operations group of the generators.  Additional information needed is managed on an informal basis.  It may be that a more formal structure would be advisable on the state of the electric system and the availability of gas from the pipelines.  On peak days, notifications are sent when there are issues.  It may be reasonable to provide additional structure on the communications. (Referenced also in item no. 3-8)</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602F2F">
        <w:trPr>
          <w:trHeight w:val="1440"/>
          <w:jc w:val="right"/>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4-6</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 xml:space="preserve">With an increased focus on safety and integrity management issues in both natural gas and electric markets, as infrastructure ages there may be an increase in the number of planned outages due to maintenance, which emphasizes the importance of communication process in notifications to affected parties to ensure that appropriate planning occurs.   </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 (NERC?)</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r>
      <w:tr w:rsidR="00411012" w:rsidRPr="00AB210E" w:rsidTr="00602F2F">
        <w:trPr>
          <w:trHeight w:val="1470"/>
          <w:jc w:val="right"/>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lastRenderedPageBreak/>
              <w:t>4-7</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More formalized structure for communication should extend past pipeline and plant operators to any segment of the two markets that is impacted by or makes decisions that affects the interdependency of the two markets.  This broader accessibility is tempered by the protection of and limited access to commercially or operationally sensitive data.</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602F2F">
        <w:trPr>
          <w:trHeight w:val="990"/>
          <w:jc w:val="right"/>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4-8</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Communications protocols may reflect the technology that was common when the protocols were adopted such that both now need updating in order to support provision of greater flexibility.</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X</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r w:rsidR="00411012" w:rsidRPr="00AB210E" w:rsidTr="00996265">
        <w:trPr>
          <w:trHeight w:val="494"/>
          <w:jc w:val="right"/>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4-9</w:t>
            </w:r>
          </w:p>
        </w:tc>
        <w:tc>
          <w:tcPr>
            <w:tcW w:w="5956" w:type="dxa"/>
            <w:tcBorders>
              <w:top w:val="single" w:sz="4" w:space="0" w:color="auto"/>
              <w:left w:val="nil"/>
              <w:bottom w:val="single" w:sz="4" w:space="0" w:color="auto"/>
              <w:right w:val="single" w:sz="4" w:space="0" w:color="auto"/>
            </w:tcBorders>
            <w:shd w:val="clear" w:color="auto" w:fill="auto"/>
            <w:hideMark/>
          </w:tcPr>
          <w:p w:rsidR="00411012" w:rsidRPr="000A5890" w:rsidRDefault="00411012" w:rsidP="002D17A6">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Deleted.</w:t>
            </w:r>
          </w:p>
        </w:tc>
        <w:tc>
          <w:tcPr>
            <w:tcW w:w="888"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411012" w:rsidRPr="00AB210E" w:rsidRDefault="00411012" w:rsidP="002D17A6">
            <w:pPr>
              <w:spacing w:before="120" w:after="12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 </w:t>
            </w:r>
          </w:p>
        </w:tc>
      </w:tr>
    </w:tbl>
    <w:p w:rsidR="00EC2CA0" w:rsidRDefault="00EC2CA0"/>
    <w:sectPr w:rsidR="00EC2CA0" w:rsidSect="00AB210E">
      <w:headerReference w:type="default"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9EC" w:rsidRDefault="004859EC" w:rsidP="00411012">
      <w:pPr>
        <w:spacing w:after="0" w:line="240" w:lineRule="auto"/>
      </w:pPr>
      <w:r>
        <w:separator/>
      </w:r>
    </w:p>
  </w:endnote>
  <w:endnote w:type="continuationSeparator" w:id="0">
    <w:p w:rsidR="004859EC" w:rsidRDefault="004859EC" w:rsidP="00411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D4E" w:rsidRPr="00411012" w:rsidRDefault="00E62D4E" w:rsidP="00411012">
    <w:pPr>
      <w:pStyle w:val="Footer"/>
      <w:pBdr>
        <w:top w:val="single" w:sz="18" w:space="1" w:color="auto"/>
      </w:pBdr>
      <w:jc w:val="right"/>
      <w:rPr>
        <w:rFonts w:ascii="Times New Roman" w:hAnsi="Times New Roman" w:cs="Times New Roman"/>
        <w:sz w:val="20"/>
        <w:szCs w:val="20"/>
      </w:rPr>
    </w:pPr>
    <w:r w:rsidRPr="00411012">
      <w:rPr>
        <w:rFonts w:ascii="Times New Roman" w:hAnsi="Times New Roman" w:cs="Times New Roman"/>
        <w:sz w:val="20"/>
        <w:szCs w:val="20"/>
      </w:rPr>
      <w:t>NAESB Board Gas-Electric Harmonization Committee – April 24, 2012</w:t>
    </w:r>
  </w:p>
  <w:p w:rsidR="00E62D4E" w:rsidRPr="00411012" w:rsidRDefault="00E62D4E" w:rsidP="00411012">
    <w:pPr>
      <w:pStyle w:val="Footer"/>
      <w:pBdr>
        <w:top w:val="single" w:sz="18" w:space="1" w:color="auto"/>
      </w:pBdr>
      <w:jc w:val="right"/>
      <w:rPr>
        <w:rFonts w:ascii="Times New Roman" w:hAnsi="Times New Roman" w:cs="Times New Roman"/>
        <w:sz w:val="20"/>
        <w:szCs w:val="20"/>
      </w:rPr>
    </w:pPr>
    <w:r w:rsidRPr="00411012">
      <w:rPr>
        <w:rFonts w:ascii="Times New Roman" w:hAnsi="Times New Roman" w:cs="Times New Roman"/>
        <w:sz w:val="20"/>
        <w:szCs w:val="20"/>
      </w:rPr>
      <w:t xml:space="preserve">Page </w:t>
    </w:r>
    <w:r w:rsidRPr="00411012">
      <w:rPr>
        <w:rFonts w:ascii="Times New Roman" w:hAnsi="Times New Roman" w:cs="Times New Roman"/>
        <w:sz w:val="20"/>
        <w:szCs w:val="20"/>
      </w:rPr>
      <w:fldChar w:fldCharType="begin"/>
    </w:r>
    <w:r w:rsidRPr="00411012">
      <w:rPr>
        <w:rFonts w:ascii="Times New Roman" w:hAnsi="Times New Roman" w:cs="Times New Roman"/>
        <w:sz w:val="20"/>
        <w:szCs w:val="20"/>
      </w:rPr>
      <w:instrText xml:space="preserve"> PAGE </w:instrText>
    </w:r>
    <w:r w:rsidRPr="00411012">
      <w:rPr>
        <w:rFonts w:ascii="Times New Roman" w:hAnsi="Times New Roman" w:cs="Times New Roman"/>
        <w:sz w:val="20"/>
        <w:szCs w:val="20"/>
      </w:rPr>
      <w:fldChar w:fldCharType="separate"/>
    </w:r>
    <w:r w:rsidR="00996265">
      <w:rPr>
        <w:rFonts w:ascii="Times New Roman" w:hAnsi="Times New Roman" w:cs="Times New Roman"/>
        <w:noProof/>
        <w:sz w:val="20"/>
        <w:szCs w:val="20"/>
      </w:rPr>
      <w:t>16</w:t>
    </w:r>
    <w:r w:rsidRPr="00411012">
      <w:rPr>
        <w:rFonts w:ascii="Times New Roman" w:hAnsi="Times New Roman" w:cs="Times New Roman"/>
        <w:noProof/>
        <w:sz w:val="20"/>
        <w:szCs w:val="20"/>
      </w:rPr>
      <w:fldChar w:fldCharType="end"/>
    </w:r>
    <w:r w:rsidRPr="00411012">
      <w:rPr>
        <w:rFonts w:ascii="Times New Roman" w:hAnsi="Times New Roman" w:cs="Times New Roman"/>
        <w:sz w:val="20"/>
        <w:szCs w:val="20"/>
      </w:rPr>
      <w:t xml:space="preserve"> of </w:t>
    </w:r>
    <w:r w:rsidRPr="00411012">
      <w:rPr>
        <w:rFonts w:ascii="Times New Roman" w:hAnsi="Times New Roman" w:cs="Times New Roman"/>
        <w:sz w:val="20"/>
        <w:szCs w:val="20"/>
      </w:rPr>
      <w:fldChar w:fldCharType="begin"/>
    </w:r>
    <w:r w:rsidRPr="00411012">
      <w:rPr>
        <w:rFonts w:ascii="Times New Roman" w:hAnsi="Times New Roman" w:cs="Times New Roman"/>
        <w:sz w:val="20"/>
        <w:szCs w:val="20"/>
      </w:rPr>
      <w:instrText xml:space="preserve"> NUMPAGES </w:instrText>
    </w:r>
    <w:r w:rsidRPr="00411012">
      <w:rPr>
        <w:rFonts w:ascii="Times New Roman" w:hAnsi="Times New Roman" w:cs="Times New Roman"/>
        <w:sz w:val="20"/>
        <w:szCs w:val="20"/>
      </w:rPr>
      <w:fldChar w:fldCharType="separate"/>
    </w:r>
    <w:r w:rsidR="00996265">
      <w:rPr>
        <w:rFonts w:ascii="Times New Roman" w:hAnsi="Times New Roman" w:cs="Times New Roman"/>
        <w:noProof/>
        <w:sz w:val="20"/>
        <w:szCs w:val="20"/>
      </w:rPr>
      <w:t>16</w:t>
    </w:r>
    <w:r w:rsidRPr="00411012">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9EC" w:rsidRDefault="004859EC" w:rsidP="00411012">
      <w:pPr>
        <w:spacing w:after="0" w:line="240" w:lineRule="auto"/>
      </w:pPr>
      <w:r>
        <w:separator/>
      </w:r>
    </w:p>
  </w:footnote>
  <w:footnote w:type="continuationSeparator" w:id="0">
    <w:p w:rsidR="004859EC" w:rsidRDefault="004859EC" w:rsidP="00411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D4E" w:rsidRDefault="00E62D4E" w:rsidP="00411012">
    <w:pPr>
      <w:pStyle w:val="Header"/>
      <w:tabs>
        <w:tab w:val="left" w:pos="1080"/>
      </w:tabs>
      <w:ind w:left="2160"/>
      <w:rPr>
        <w:rFonts w:ascii="Bookman Old Style" w:hAnsi="Bookman Old Style"/>
        <w:b/>
        <w:sz w:val="28"/>
      </w:rPr>
    </w:pPr>
    <w:r>
      <w:rPr>
        <w:noProof/>
      </w:rPr>
      <w:drawing>
        <wp:anchor distT="0" distB="0" distL="114300" distR="114300" simplePos="0" relativeHeight="251659264" behindDoc="1" locked="0" layoutInCell="1" allowOverlap="1" wp14:anchorId="42DF02E2" wp14:editId="007E734B">
          <wp:simplePos x="0" y="0"/>
          <wp:positionH relativeFrom="column">
            <wp:posOffset>-14605</wp:posOffset>
          </wp:positionH>
          <wp:positionV relativeFrom="paragraph">
            <wp:posOffset>-159385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p>
  <w:p w:rsidR="00E62D4E" w:rsidRDefault="00E62D4E" w:rsidP="00411012">
    <w:pPr>
      <w:pStyle w:val="Header"/>
      <w:tabs>
        <w:tab w:val="left" w:pos="1080"/>
      </w:tabs>
      <w:ind w:left="1800"/>
      <w:jc w:val="right"/>
      <w:rPr>
        <w:b/>
        <w:spacing w:val="20"/>
        <w:sz w:val="32"/>
      </w:rPr>
    </w:pPr>
    <w:r>
      <w:rPr>
        <w:b/>
        <w:spacing w:val="20"/>
        <w:sz w:val="32"/>
      </w:rPr>
      <w:t>North American Energy Standards Board</w:t>
    </w:r>
  </w:p>
  <w:p w:rsidR="00E62D4E" w:rsidRDefault="00E62D4E" w:rsidP="00411012">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City">
          <w:smartTag w:uri="urn:schemas-microsoft-com:office:smarttags" w:element="place">
            <w:r>
              <w:t>Houston</w:t>
            </w:r>
          </w:smartTag>
        </w:smartTag>
        <w:r>
          <w:t xml:space="preserve">, </w:t>
        </w:r>
        <w:smartTag w:uri="urn:schemas-microsoft-com:office:smarttags" w:element="PersonName">
          <w:smartTag w:uri="urn:schemas-microsoft-com:office:smarttags" w:element="State">
            <w:r>
              <w:t>Texas</w:t>
            </w:r>
          </w:smartTag>
        </w:smartTag>
        <w:r>
          <w:t xml:space="preserve"> </w:t>
        </w:r>
        <w:smartTag w:uri="urn:schemas-microsoft-com:office:smarttags" w:element="PersonName">
          <w:smartTag w:uri="urn:schemas-microsoft-com:office:smarttags" w:element="PostalCode">
            <w:r>
              <w:t>77002</w:t>
            </w:r>
          </w:smartTag>
        </w:smartTag>
      </w:smartTag>
    </w:smartTag>
  </w:p>
  <w:p w:rsidR="00E62D4E" w:rsidRDefault="00E62D4E" w:rsidP="00411012">
    <w:pPr>
      <w:pStyle w:val="Header"/>
      <w:ind w:left="1800"/>
      <w:jc w:val="right"/>
      <w:rPr>
        <w:lang w:val="fr-FR"/>
      </w:rPr>
    </w:pPr>
    <w:r>
      <w:rPr>
        <w:lang w:val="fr-FR"/>
      </w:rPr>
      <w:t xml:space="preserve">Phone:  </w:t>
    </w:r>
    <w:smartTag w:uri="urn:schemas-microsoft-com:office:smarttags" w:element="PersonName">
      <w:r>
        <w:rPr>
          <w:lang w:val="fr-FR"/>
        </w:rPr>
        <w:t xml:space="preserve">(713) </w:t>
      </w:r>
      <w:smartTag w:uri="urn:schemas-microsoft-com:office:smarttags" w:element="PersonName">
        <w:r>
          <w:rPr>
            <w:lang w:val="fr-FR"/>
          </w:rPr>
          <w:t>356-0060</w:t>
        </w:r>
      </w:smartTag>
    </w:smartTag>
    <w:r>
      <w:rPr>
        <w:lang w:val="fr-FR"/>
      </w:rPr>
      <w:t xml:space="preserve">, Fax:  </w:t>
    </w:r>
    <w:smartTag w:uri="urn:schemas-microsoft-com:office:smarttags" w:element="PersonName">
      <w:r>
        <w:rPr>
          <w:lang w:val="fr-FR"/>
        </w:rPr>
        <w:t xml:space="preserve">(713) </w:t>
      </w:r>
      <w:smartTag w:uri="urn:schemas-microsoft-com:office:smarttags" w:element="PersonName">
        <w:r>
          <w:rPr>
            <w:lang w:val="fr-FR"/>
          </w:rPr>
          <w:t>356-0067</w:t>
        </w:r>
      </w:smartTag>
    </w:smartTag>
    <w:r>
      <w:rPr>
        <w:lang w:val="fr-FR"/>
      </w:rPr>
      <w:t xml:space="preserve">, E-mail: </w:t>
    </w:r>
    <w:smartTag w:uri="urn:schemas-microsoft-com:office:smarttags" w:element="PersonName">
      <w:r>
        <w:rPr>
          <w:lang w:val="fr-FR"/>
        </w:rPr>
        <w:t>naesb</w:t>
      </w:r>
    </w:smartTag>
    <w:r>
      <w:rPr>
        <w:lang w:val="fr-FR"/>
      </w:rPr>
      <w:t>@</w:t>
    </w:r>
    <w:smartTag w:uri="urn:schemas-microsoft-com:office:smarttags" w:element="PersonName">
      <w:r>
        <w:rPr>
          <w:lang w:val="fr-FR"/>
        </w:rPr>
        <w:t>naesb</w:t>
      </w:r>
    </w:smartTag>
    <w:r>
      <w:rPr>
        <w:lang w:val="fr-FR"/>
      </w:rPr>
      <w:t>.org</w:t>
    </w:r>
  </w:p>
  <w:p w:rsidR="00E62D4E" w:rsidRDefault="00E62D4E" w:rsidP="00411012">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E62D4E" w:rsidRDefault="00E62D4E" w:rsidP="00411012">
    <w:pPr>
      <w:pStyle w:val="Header"/>
      <w:pBdr>
        <w:bottom w:val="single" w:sz="18" w:space="1" w:color="auto"/>
      </w:pBdr>
      <w:spacing w:after="240"/>
      <w:ind w:left="1800" w:hanging="1800"/>
      <w:rPr>
        <w:sz w:val="8"/>
      </w:rPr>
    </w:pPr>
  </w:p>
  <w:p w:rsidR="00E62D4E" w:rsidRDefault="00E62D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86274"/>
    <w:multiLevelType w:val="hybridMultilevel"/>
    <w:tmpl w:val="8DD0D758"/>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96D9F"/>
    <w:multiLevelType w:val="hybridMultilevel"/>
    <w:tmpl w:val="C7F805D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B01C3E"/>
    <w:multiLevelType w:val="hybridMultilevel"/>
    <w:tmpl w:val="51F4592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E0C1E"/>
    <w:multiLevelType w:val="hybridMultilevel"/>
    <w:tmpl w:val="0868EA44"/>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210760"/>
    <w:multiLevelType w:val="hybridMultilevel"/>
    <w:tmpl w:val="292E3478"/>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6">
    <w:nsid w:val="45E06205"/>
    <w:multiLevelType w:val="hybridMultilevel"/>
    <w:tmpl w:val="6AF0E58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AE0D83"/>
    <w:multiLevelType w:val="hybridMultilevel"/>
    <w:tmpl w:val="091CE85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2"/>
  </w:num>
  <w:num w:numId="5">
    <w:abstractNumId w:val="3"/>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10E"/>
    <w:rsid w:val="00104318"/>
    <w:rsid w:val="00250E2C"/>
    <w:rsid w:val="00256AB0"/>
    <w:rsid w:val="002D17A6"/>
    <w:rsid w:val="002E5E3F"/>
    <w:rsid w:val="00411012"/>
    <w:rsid w:val="004859EC"/>
    <w:rsid w:val="0048679D"/>
    <w:rsid w:val="004B6884"/>
    <w:rsid w:val="004C2519"/>
    <w:rsid w:val="004F4B9A"/>
    <w:rsid w:val="00602F2F"/>
    <w:rsid w:val="006101DC"/>
    <w:rsid w:val="006B0C05"/>
    <w:rsid w:val="00742DD2"/>
    <w:rsid w:val="008C78F6"/>
    <w:rsid w:val="00903A5F"/>
    <w:rsid w:val="00996265"/>
    <w:rsid w:val="00AB210E"/>
    <w:rsid w:val="00B36E91"/>
    <w:rsid w:val="00DC6716"/>
    <w:rsid w:val="00E62D4E"/>
    <w:rsid w:val="00EC2CA0"/>
    <w:rsid w:val="00F42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10E"/>
    <w:pPr>
      <w:ind w:left="720"/>
      <w:contextualSpacing/>
    </w:pPr>
  </w:style>
  <w:style w:type="character" w:styleId="Hyperlink">
    <w:name w:val="Hyperlink"/>
    <w:basedOn w:val="DefaultParagraphFont"/>
    <w:uiPriority w:val="99"/>
    <w:unhideWhenUsed/>
    <w:rsid w:val="00DC6716"/>
    <w:rPr>
      <w:color w:val="0000FF" w:themeColor="hyperlink"/>
      <w:u w:val="single"/>
    </w:rPr>
  </w:style>
  <w:style w:type="paragraph" w:styleId="Title">
    <w:name w:val="Title"/>
    <w:basedOn w:val="Normal"/>
    <w:link w:val="TitleChar"/>
    <w:qFormat/>
    <w:rsid w:val="008C78F6"/>
    <w:pPr>
      <w:snapToGrid w:val="0"/>
      <w:spacing w:before="100" w:after="0" w:line="240" w:lineRule="auto"/>
      <w:jc w:val="center"/>
    </w:pPr>
    <w:rPr>
      <w:rFonts w:ascii="Bookman Old Style" w:hAnsi="Bookman Old Style" w:cs="Times New Roman"/>
      <w:b/>
      <w:bCs/>
      <w:sz w:val="18"/>
      <w:szCs w:val="18"/>
    </w:rPr>
  </w:style>
  <w:style w:type="character" w:customStyle="1" w:styleId="TitleChar">
    <w:name w:val="Title Char"/>
    <w:basedOn w:val="DefaultParagraphFont"/>
    <w:link w:val="Title"/>
    <w:rsid w:val="008C78F6"/>
    <w:rPr>
      <w:rFonts w:ascii="Bookman Old Style" w:hAnsi="Bookman Old Style" w:cs="Times New Roman"/>
      <w:b/>
      <w:bCs/>
      <w:sz w:val="18"/>
      <w:szCs w:val="18"/>
    </w:rPr>
  </w:style>
  <w:style w:type="paragraph" w:styleId="Header">
    <w:name w:val="header"/>
    <w:basedOn w:val="Normal"/>
    <w:link w:val="HeaderChar"/>
    <w:uiPriority w:val="99"/>
    <w:rsid w:val="0048679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48679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11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0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10E"/>
    <w:pPr>
      <w:ind w:left="720"/>
      <w:contextualSpacing/>
    </w:pPr>
  </w:style>
  <w:style w:type="character" w:styleId="Hyperlink">
    <w:name w:val="Hyperlink"/>
    <w:basedOn w:val="DefaultParagraphFont"/>
    <w:uiPriority w:val="99"/>
    <w:unhideWhenUsed/>
    <w:rsid w:val="00DC6716"/>
    <w:rPr>
      <w:color w:val="0000FF" w:themeColor="hyperlink"/>
      <w:u w:val="single"/>
    </w:rPr>
  </w:style>
  <w:style w:type="paragraph" w:styleId="Title">
    <w:name w:val="Title"/>
    <w:basedOn w:val="Normal"/>
    <w:link w:val="TitleChar"/>
    <w:qFormat/>
    <w:rsid w:val="008C78F6"/>
    <w:pPr>
      <w:snapToGrid w:val="0"/>
      <w:spacing w:before="100" w:after="0" w:line="240" w:lineRule="auto"/>
      <w:jc w:val="center"/>
    </w:pPr>
    <w:rPr>
      <w:rFonts w:ascii="Bookman Old Style" w:hAnsi="Bookman Old Style" w:cs="Times New Roman"/>
      <w:b/>
      <w:bCs/>
      <w:sz w:val="18"/>
      <w:szCs w:val="18"/>
    </w:rPr>
  </w:style>
  <w:style w:type="character" w:customStyle="1" w:styleId="TitleChar">
    <w:name w:val="Title Char"/>
    <w:basedOn w:val="DefaultParagraphFont"/>
    <w:link w:val="Title"/>
    <w:rsid w:val="008C78F6"/>
    <w:rPr>
      <w:rFonts w:ascii="Bookman Old Style" w:hAnsi="Bookman Old Style" w:cs="Times New Roman"/>
      <w:b/>
      <w:bCs/>
      <w:sz w:val="18"/>
      <w:szCs w:val="18"/>
    </w:rPr>
  </w:style>
  <w:style w:type="paragraph" w:styleId="Header">
    <w:name w:val="header"/>
    <w:basedOn w:val="Normal"/>
    <w:link w:val="HeaderChar"/>
    <w:uiPriority w:val="99"/>
    <w:rsid w:val="0048679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48679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11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065041">
      <w:bodyDiv w:val="1"/>
      <w:marLeft w:val="0"/>
      <w:marRight w:val="0"/>
      <w:marTop w:val="0"/>
      <w:marBottom w:val="0"/>
      <w:divBdr>
        <w:top w:val="none" w:sz="0" w:space="0" w:color="auto"/>
        <w:left w:val="none" w:sz="0" w:space="0" w:color="auto"/>
        <w:bottom w:val="none" w:sz="0" w:space="0" w:color="auto"/>
        <w:right w:val="none" w:sz="0" w:space="0" w:color="auto"/>
      </w:divBdr>
    </w:div>
    <w:div w:id="197501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library.ferc.gov/idmws/file_list.asp?accession_num=20120315-3006"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08DF5-C0DC-4EFE-BD8B-73263C6C3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3434</Words>
  <Characters>19578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 McQuade</dc:creator>
  <cp:lastModifiedBy>Rae McQuade</cp:lastModifiedBy>
  <cp:revision>2</cp:revision>
  <dcterms:created xsi:type="dcterms:W3CDTF">2012-04-26T16:36:00Z</dcterms:created>
  <dcterms:modified xsi:type="dcterms:W3CDTF">2012-04-26T16:36:00Z</dcterms:modified>
</cp:coreProperties>
</file>