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pPr>
        <w:ind w:left="1440" w:hanging="1440"/>
        <w:jc w:val="right"/>
        <w:rPr>
          <w:bCs/>
        </w:rPr>
      </w:pPr>
      <w:r>
        <w:rPr>
          <w:bCs/>
        </w:rPr>
        <w:t>February 8, 2012</w:t>
      </w:r>
    </w:p>
    <w:p>
      <w:pPr>
        <w:spacing w:before="120"/>
        <w:ind w:left="1440" w:hanging="1440"/>
        <w:rPr>
          <w:bCs/>
        </w:rPr>
      </w:pPr>
      <w:r>
        <w:rPr>
          <w:b/>
        </w:rPr>
        <w:t xml:space="preserve">TO: </w:t>
      </w:r>
      <w:r>
        <w:rPr>
          <w:b/>
        </w:rPr>
        <w:tab/>
      </w:r>
      <w:r>
        <w:rPr>
          <w:bCs/>
        </w:rPr>
        <w:t>NAESB Board Committee – Gas Electric Harmonization</w:t>
      </w:r>
    </w:p>
    <w:p>
      <w:pPr>
        <w:spacing w:before="120"/>
        <w:ind w:left="1440" w:hanging="1440"/>
        <w:rPr>
          <w:bCs/>
        </w:rPr>
      </w:pPr>
      <w:r>
        <w:rPr>
          <w:b/>
        </w:rPr>
        <w:t>CC:</w:t>
      </w:r>
      <w:r>
        <w:rPr>
          <w:b/>
        </w:rPr>
        <w:tab/>
      </w:r>
      <w:r>
        <w:rPr>
          <w:bCs/>
        </w:rPr>
        <w:t>Gas Electric Harmonization Distribution List</w:t>
      </w:r>
    </w:p>
    <w:p>
      <w:pPr>
        <w:spacing w:before="120"/>
        <w:rPr>
          <w:bCs/>
        </w:rPr>
      </w:pPr>
      <w:r>
        <w:rPr>
          <w:b/>
        </w:rPr>
        <w:t xml:space="preserve">FROM: </w:t>
      </w:r>
      <w:r>
        <w:rPr>
          <w:b/>
        </w:rPr>
        <w:tab/>
      </w:r>
      <w:smartTag w:uri="urn:schemas-microsoft-com:office:smarttags" w:element="PersonName">
        <w:r>
          <w:t>R</w:t>
        </w:r>
        <w:r>
          <w:rPr>
            <w:bCs/>
          </w:rPr>
          <w:t>ae McQuade</w:t>
        </w:r>
      </w:smartTag>
      <w:r>
        <w:rPr>
          <w:bCs/>
        </w:rPr>
        <w:t xml:space="preserve">, NAESB President </w:t>
      </w:r>
    </w:p>
    <w:p>
      <w:pPr>
        <w:pBdr>
          <w:bottom w:val="single" w:sz="12" w:space="1" w:color="auto"/>
        </w:pBdr>
        <w:spacing w:before="120"/>
        <w:ind w:left="1440" w:hanging="1440"/>
        <w:rPr>
          <w:bCs/>
        </w:rPr>
      </w:pPr>
      <w:r>
        <w:rPr>
          <w:b/>
        </w:rPr>
        <w:t xml:space="preserve">RE: </w:t>
      </w:r>
      <w:r>
        <w:rPr>
          <w:b/>
        </w:rPr>
        <w:tab/>
      </w:r>
      <w:r>
        <w:t xml:space="preserve">Draft Work Plan, Dates, and Assignments </w:t>
      </w:r>
    </w:p>
    <w:p>
      <w:pPr>
        <w:tabs>
          <w:tab w:val="left" w:pos="0"/>
        </w:tabs>
        <w:spacing w:before="240"/>
        <w:jc w:val="both"/>
        <w:rPr>
          <w:bCs/>
        </w:rPr>
      </w:pPr>
      <w:r>
        <w:rPr>
          <w:bCs/>
        </w:rPr>
        <w:t>Dear Committee Members,</w:t>
      </w:r>
    </w:p>
    <w:p>
      <w:pPr>
        <w:spacing w:before="120"/>
        <w:rPr>
          <w:rStyle w:val="Strong"/>
          <w:b w:val="0"/>
        </w:rPr>
      </w:pPr>
      <w:r>
        <w:t xml:space="preserve">As we discussed in our meeting on January 27, we were going to review the documents, identify areas that may need review by NAESB and put together teams to provide analysis in a “divide and conquer” approach. </w:t>
      </w:r>
      <w:r>
        <w:rPr>
          <w:bCs/>
        </w:rPr>
        <w:t>Attached, please find an initial list of issues to be addressed (matrix of issues), teams identified and committee member assignments.  You can participate in as many teams as you would like in addition to the primary assignment.  We have also provided a timeline for meetings and conference calls that can serve as a work plan.  As work proceeds, we can make adjustments as necessary.</w:t>
      </w:r>
    </w:p>
    <w:p>
      <w:pPr>
        <w:spacing w:before="120"/>
        <w:rPr>
          <w:bCs/>
        </w:rPr>
      </w:pPr>
      <w:r>
        <w:t xml:space="preserve">As a quick and cursory analysis, </w:t>
      </w:r>
      <w:r>
        <w:rPr>
          <w:bCs/>
        </w:rPr>
        <w:t>the issues tend to focus on (1) transparency and availability of interdependency data upon which to make decisions, (2) coordination of timelines and market functions, and (3) identification of commercial/operations issues that should be resolved for full gas-electric coordination and market interaction, which may include identification of transmission bottlenecks, identification and balancing of fuel and delivery service requirements and generator must-run requirements, and other similar issues. In many of these cases, providing information supporting decisions – not just in a manner of notification but in support of coordination, coupled with changes to support market interactions, should lead to a more efficient use of the existing infrastructure and guidance that may lead to infrastructure changes for a better natural gas-electric market harmonization.  These three focal points define the three teams that will address issues identified in the matrix of issues.</w:t>
      </w:r>
    </w:p>
    <w:p>
      <w:pPr>
        <w:spacing w:before="120"/>
      </w:pPr>
      <w:r>
        <w:t xml:space="preserve">As the teams review the issues identified, and indeed may identify additional issues, it is expected that one or more of three recommendations may be reached: (1) NAESB should consider standards development – which could take the form of new standards or modifications of existing standards, (2) policy or other industry decisions are needed before it can be determined if NAESB should consider any action, or (3) NAESB should not consider any action because either services may be the most appropriate course of action or the efforts of other standards organizations may be more appropriate than those of NAESB. </w:t>
      </w:r>
    </w:p>
    <w:p>
      <w:pPr>
        <w:spacing w:before="120"/>
      </w:pPr>
      <w:r>
        <w:t>We very much appreciate your willingness to provide leadership and guidance to the industry regarding the need for gas-electric market harmonization.  We know there are many competing projects that demand your attention, so if there are tasks that we can do to provide support – tasks that have not yet been identified, please let us know.  As noted in other communications, we have an email list set up for the committee members (</w:t>
      </w:r>
      <w:hyperlink r:id="rId8" w:history="1">
        <w:r>
          <w:rPr>
            <w:rStyle w:val="Hyperlink"/>
          </w:rPr>
          <w:t>brd_geharm@naesblist.org</w:t>
        </w:r>
      </w:hyperlink>
      <w:r>
        <w:t>), and a distribution list for sending out notices and work papers, of which the committee members are already included.  We have a page set up for the calendar of meetings and materials (</w:t>
      </w:r>
      <w:hyperlink r:id="rId9" w:history="1">
        <w:r>
          <w:rPr>
            <w:rStyle w:val="Hyperlink"/>
          </w:rPr>
          <w:t>http://www.naesb.org/board_gas_electric_harmonization.asp</w:t>
        </w:r>
      </w:hyperlink>
      <w:r>
        <w:t>).</w:t>
      </w:r>
    </w:p>
    <w:p>
      <w:pPr>
        <w:spacing w:before="120"/>
      </w:pPr>
      <w:r>
        <w:t>Feel free to call me (</w:t>
      </w:r>
      <w:hyperlink r:id="rId10" w:history="1">
        <w:r>
          <w:rPr>
            <w:rStyle w:val="Hyperlink"/>
          </w:rPr>
          <w:t>rmcquade@naesb.org</w:t>
        </w:r>
      </w:hyperlink>
      <w:r>
        <w:t>, 713-356-0060), Michael (</w:t>
      </w:r>
      <w:hyperlink r:id="rId11" w:history="1">
        <w:r>
          <w:rPr>
            <w:rStyle w:val="Hyperlink"/>
          </w:rPr>
          <w:t>mdesselle@spp.org</w:t>
        </w:r>
      </w:hyperlink>
      <w:r>
        <w:t>, 501-614-3206) or Valerie (</w:t>
      </w:r>
      <w:hyperlink r:id="rId12" w:history="1">
        <w:r>
          <w:rPr>
            <w:rStyle w:val="Hyperlink"/>
          </w:rPr>
          <w:t>vjcrockett@tva.gov</w:t>
        </w:r>
      </w:hyperlink>
      <w:r>
        <w:t xml:space="preserve">, 423-751-6096) should you have any questions.  </w:t>
      </w:r>
    </w:p>
    <w:p>
      <w:pPr>
        <w:spacing w:before="480"/>
      </w:pPr>
      <w:r>
        <w:t xml:space="preserve">Once again, thanks so much for devoting your time to this committee -- </w:t>
      </w:r>
    </w:p>
    <w:p>
      <w:pPr>
        <w:rPr>
          <w:rFonts w:ascii="Mistral" w:hAnsi="Mistral"/>
          <w:i/>
          <w:iCs/>
          <w:sz w:val="32"/>
          <w:szCs w:val="32"/>
        </w:rPr>
      </w:pPr>
      <w:r>
        <w:rPr>
          <w:rFonts w:ascii="Mistral" w:hAnsi="Mistral"/>
          <w:i/>
          <w:iCs/>
          <w:sz w:val="32"/>
          <w:szCs w:val="32"/>
        </w:rPr>
        <w:t xml:space="preserve">Rae </w:t>
      </w:r>
    </w:p>
    <w:p>
      <w:smartTag w:uri="urn:schemas-microsoft-com:office:smarttags" w:element="PersonName">
        <w:r>
          <w:t>Rae McQuade</w:t>
        </w:r>
      </w:smartTag>
    </w:p>
    <w:p>
      <w:r>
        <w:t>President, North American Energy Standards Board</w:t>
      </w:r>
    </w:p>
    <w:bookmarkEnd w:id="0"/>
    <w:bookmarkEnd w:id="1"/>
    <w:bookmarkEnd w:id="2"/>
    <w:bookmarkEnd w:id="3"/>
    <w:bookmarkEnd w:id="4"/>
    <w:bookmarkEnd w:id="5"/>
    <w:p>
      <w:pPr>
        <w:rPr>
          <w:b/>
          <w:smallCaps/>
        </w:rPr>
      </w:pPr>
    </w:p>
    <w:p>
      <w:pPr>
        <w:rPr>
          <w:b/>
          <w:smallCaps/>
        </w:rPr>
      </w:pPr>
    </w:p>
    <w:p>
      <w:pPr>
        <w:rPr>
          <w:b/>
          <w:smallCaps/>
        </w:rPr>
        <w:sectPr>
          <w:headerReference w:type="default" r:id="rId13"/>
          <w:footerReference w:type="default" r:id="rId14"/>
          <w:headerReference w:type="first" r:id="rId15"/>
          <w:pgSz w:w="12240" w:h="15840" w:code="1"/>
          <w:pgMar w:top="720" w:right="1267" w:bottom="720" w:left="1166" w:header="720" w:footer="720" w:gutter="0"/>
          <w:cols w:space="720"/>
          <w:titlePg/>
        </w:sectPr>
      </w:pPr>
    </w:p>
    <w:tbl>
      <w:tblPr>
        <w:tblW w:w="0" w:type="auto"/>
        <w:tblLook w:val="01E0" w:firstRow="1" w:lastRow="1" w:firstColumn="1" w:lastColumn="1" w:noHBand="0" w:noVBand="0"/>
      </w:tblPr>
      <w:tblGrid>
        <w:gridCol w:w="737"/>
        <w:gridCol w:w="2320"/>
        <w:gridCol w:w="1470"/>
        <w:gridCol w:w="3167"/>
        <w:gridCol w:w="2329"/>
      </w:tblGrid>
      <w:tr>
        <w:trPr>
          <w:tblHeader/>
        </w:trPr>
        <w:tc>
          <w:tcPr>
            <w:tcW w:w="3057" w:type="dxa"/>
            <w:gridSpan w:val="2"/>
            <w:tcBorders>
              <w:top w:val="single" w:sz="4" w:space="0" w:color="auto"/>
              <w:bottom w:val="single" w:sz="4" w:space="0" w:color="auto"/>
            </w:tcBorders>
            <w:shd w:val="clear" w:color="auto" w:fill="C4BC96"/>
            <w:vAlign w:val="center"/>
          </w:tcPr>
          <w:p>
            <w:pPr>
              <w:spacing w:before="60" w:after="60"/>
            </w:pPr>
            <w:r>
              <w:lastRenderedPageBreak/>
              <w:t>Leadership Team</w:t>
            </w:r>
          </w:p>
        </w:tc>
        <w:tc>
          <w:tcPr>
            <w:tcW w:w="1470" w:type="dxa"/>
            <w:tcBorders>
              <w:top w:val="single" w:sz="4" w:space="0" w:color="auto"/>
              <w:bottom w:val="single" w:sz="4" w:space="0" w:color="auto"/>
            </w:tcBorders>
            <w:shd w:val="clear" w:color="auto" w:fill="C4BC96"/>
            <w:vAlign w:val="center"/>
          </w:tcPr>
          <w:p>
            <w:pPr>
              <w:spacing w:before="60" w:after="60"/>
            </w:pPr>
            <w:r>
              <w:t>Co-Chairs</w:t>
            </w:r>
          </w:p>
        </w:tc>
        <w:tc>
          <w:tcPr>
            <w:tcW w:w="3167" w:type="dxa"/>
            <w:tcBorders>
              <w:top w:val="single" w:sz="4" w:space="0" w:color="auto"/>
              <w:bottom w:val="single" w:sz="4" w:space="0" w:color="auto"/>
            </w:tcBorders>
            <w:shd w:val="clear" w:color="auto" w:fill="C4BC96"/>
            <w:vAlign w:val="center"/>
          </w:tcPr>
          <w:p>
            <w:pPr>
              <w:spacing w:before="60" w:after="60"/>
            </w:pPr>
            <w:r>
              <w:t>Scope of Effort</w:t>
            </w:r>
          </w:p>
        </w:tc>
        <w:tc>
          <w:tcPr>
            <w:tcW w:w="2329" w:type="dxa"/>
            <w:tcBorders>
              <w:top w:val="single" w:sz="4" w:space="0" w:color="auto"/>
              <w:bottom w:val="single" w:sz="4" w:space="0" w:color="auto"/>
            </w:tcBorders>
            <w:shd w:val="clear" w:color="auto" w:fill="C4BC96"/>
            <w:vAlign w:val="center"/>
          </w:tcPr>
          <w:p>
            <w:pPr>
              <w:spacing w:before="60" w:after="60"/>
            </w:pPr>
            <w:r>
              <w:t>Team Primary Members</w:t>
            </w:r>
          </w:p>
        </w:tc>
      </w:tr>
      <w:tr>
        <w:trPr>
          <w:trHeight w:val="323"/>
        </w:trPr>
        <w:tc>
          <w:tcPr>
            <w:tcW w:w="737" w:type="dxa"/>
            <w:vMerge w:val="restart"/>
            <w:tcBorders>
              <w:top w:val="single" w:sz="4" w:space="0" w:color="auto"/>
            </w:tcBorders>
          </w:tcPr>
          <w:p>
            <w:pPr>
              <w:spacing w:before="60" w:after="60"/>
            </w:pPr>
          </w:p>
        </w:tc>
        <w:tc>
          <w:tcPr>
            <w:tcW w:w="2320" w:type="dxa"/>
            <w:vMerge w:val="restart"/>
            <w:tcBorders>
              <w:top w:val="single" w:sz="4" w:space="0" w:color="auto"/>
            </w:tcBorders>
          </w:tcPr>
          <w:p>
            <w:pPr>
              <w:spacing w:before="60" w:after="60"/>
            </w:pPr>
            <w:r>
              <w:t>Team Leadership</w:t>
            </w:r>
          </w:p>
        </w:tc>
        <w:tc>
          <w:tcPr>
            <w:tcW w:w="1470" w:type="dxa"/>
            <w:tcBorders>
              <w:top w:val="single" w:sz="4" w:space="0" w:color="auto"/>
            </w:tcBorders>
          </w:tcPr>
          <w:p>
            <w:pPr>
              <w:spacing w:before="60" w:after="60"/>
            </w:pPr>
            <w:r>
              <w:t>V Crockett</w:t>
            </w:r>
          </w:p>
        </w:tc>
        <w:tc>
          <w:tcPr>
            <w:tcW w:w="3167" w:type="dxa"/>
            <w:vMerge w:val="restart"/>
            <w:tcBorders>
              <w:top w:val="single" w:sz="4" w:space="0" w:color="auto"/>
            </w:tcBorders>
          </w:tcPr>
          <w:p>
            <w:pPr>
              <w:spacing w:before="60" w:after="60"/>
            </w:pPr>
            <w:r>
              <w:t>Consolidation of team recommendations, and leadership of Teams</w:t>
            </w:r>
          </w:p>
        </w:tc>
        <w:tc>
          <w:tcPr>
            <w:tcW w:w="2329" w:type="dxa"/>
            <w:tcBorders>
              <w:top w:val="single" w:sz="4" w:space="0" w:color="auto"/>
            </w:tcBorders>
          </w:tcPr>
          <w:p>
            <w:pPr>
              <w:spacing w:before="60" w:after="60"/>
              <w:rPr>
                <w:bCs/>
              </w:rPr>
            </w:pPr>
            <w:r>
              <w:t>V Bailey</w:t>
            </w:r>
            <w:r>
              <w:rPr>
                <w:bCs/>
              </w:rPr>
              <w:t xml:space="preserve"> </w:t>
            </w:r>
          </w:p>
        </w:tc>
      </w:tr>
      <w:tr>
        <w:trPr>
          <w:trHeight w:val="207"/>
        </w:trPr>
        <w:tc>
          <w:tcPr>
            <w:tcW w:w="737" w:type="dxa"/>
            <w:vMerge/>
          </w:tcPr>
          <w:p>
            <w:pPr>
              <w:spacing w:before="60" w:after="60"/>
            </w:pPr>
          </w:p>
        </w:tc>
        <w:tc>
          <w:tcPr>
            <w:tcW w:w="2320" w:type="dxa"/>
            <w:vMerge/>
          </w:tcPr>
          <w:p>
            <w:pPr>
              <w:spacing w:before="60" w:after="60"/>
            </w:pPr>
          </w:p>
        </w:tc>
        <w:tc>
          <w:tcPr>
            <w:tcW w:w="1470" w:type="dxa"/>
          </w:tcPr>
          <w:p>
            <w:pPr>
              <w:spacing w:before="60" w:after="60"/>
            </w:pPr>
            <w:smartTag w:uri="urn:schemas-microsoft-com:office:smarttags" w:element="place">
              <w:r>
                <w:t>S Tierney</w:t>
              </w:r>
            </w:smartTag>
          </w:p>
        </w:tc>
        <w:tc>
          <w:tcPr>
            <w:tcW w:w="3167" w:type="dxa"/>
            <w:vMerge/>
          </w:tcPr>
          <w:p>
            <w:pPr>
              <w:spacing w:before="60" w:after="60"/>
            </w:pPr>
          </w:p>
        </w:tc>
        <w:tc>
          <w:tcPr>
            <w:tcW w:w="2329" w:type="dxa"/>
          </w:tcPr>
          <w:p>
            <w:pPr>
              <w:spacing w:before="60" w:after="60"/>
            </w:pPr>
            <w:r>
              <w:rPr>
                <w:bCs/>
              </w:rPr>
              <w:t>L Cross</w:t>
            </w:r>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vMerge/>
          </w:tcPr>
          <w:p>
            <w:pPr>
              <w:spacing w:before="60" w:after="60"/>
            </w:pPr>
          </w:p>
        </w:tc>
        <w:tc>
          <w:tcPr>
            <w:tcW w:w="2329" w:type="dxa"/>
          </w:tcPr>
          <w:p>
            <w:pPr>
              <w:spacing w:before="60" w:after="60"/>
            </w:pPr>
            <w:r>
              <w:t>L Epifani</w:t>
            </w:r>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vMerge/>
          </w:tcPr>
          <w:p>
            <w:pPr>
              <w:spacing w:before="60" w:after="60"/>
            </w:pPr>
          </w:p>
        </w:tc>
        <w:tc>
          <w:tcPr>
            <w:tcW w:w="2329" w:type="dxa"/>
          </w:tcPr>
          <w:p>
            <w:pPr>
              <w:spacing w:before="60" w:after="60"/>
            </w:pPr>
            <w:r>
              <w:t xml:space="preserve">C </w:t>
            </w:r>
            <w:proofErr w:type="spellStart"/>
            <w:r>
              <w:t>Freitas</w:t>
            </w:r>
            <w:proofErr w:type="spellEnd"/>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pPr>
          </w:p>
        </w:tc>
        <w:tc>
          <w:tcPr>
            <w:tcW w:w="2329" w:type="dxa"/>
          </w:tcPr>
          <w:p>
            <w:pPr>
              <w:spacing w:before="60" w:after="60"/>
            </w:pPr>
            <w:r>
              <w:t>B Gee</w:t>
            </w:r>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pPr>
          </w:p>
        </w:tc>
        <w:tc>
          <w:tcPr>
            <w:tcW w:w="2329" w:type="dxa"/>
          </w:tcPr>
          <w:p>
            <w:pPr>
              <w:spacing w:before="60" w:after="60"/>
            </w:pPr>
            <w:r>
              <w:t xml:space="preserve">J </w:t>
            </w:r>
            <w:proofErr w:type="spellStart"/>
            <w:r>
              <w:t>Ogg</w:t>
            </w:r>
            <w:proofErr w:type="spellEnd"/>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pPr>
          </w:p>
        </w:tc>
        <w:tc>
          <w:tcPr>
            <w:tcW w:w="2329" w:type="dxa"/>
          </w:tcPr>
          <w:p>
            <w:pPr>
              <w:spacing w:before="60" w:after="60"/>
            </w:pPr>
            <w:r>
              <w:t>T Simon</w:t>
            </w:r>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pPr>
          </w:p>
        </w:tc>
        <w:tc>
          <w:tcPr>
            <w:tcW w:w="2329" w:type="dxa"/>
          </w:tcPr>
          <w:p>
            <w:pPr>
              <w:spacing w:before="60" w:after="60"/>
            </w:pPr>
            <w:r>
              <w:t>R Smead</w:t>
            </w:r>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pPr>
          </w:p>
        </w:tc>
        <w:tc>
          <w:tcPr>
            <w:tcW w:w="2329" w:type="dxa"/>
          </w:tcPr>
          <w:p>
            <w:pPr>
              <w:spacing w:before="60" w:after="60"/>
            </w:pPr>
            <w:r>
              <w:t>T Thorn</w:t>
            </w:r>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pPr>
          </w:p>
        </w:tc>
        <w:tc>
          <w:tcPr>
            <w:tcW w:w="2329" w:type="dxa"/>
          </w:tcPr>
          <w:p>
            <w:pPr>
              <w:spacing w:before="60" w:after="60"/>
            </w:pPr>
            <w:r>
              <w:rPr>
                <w:bCs/>
              </w:rPr>
              <w:t>K Yeasting</w:t>
            </w:r>
          </w:p>
        </w:tc>
      </w:tr>
    </w:tbl>
    <w:p/>
    <w:tbl>
      <w:tblPr>
        <w:tblW w:w="0" w:type="auto"/>
        <w:tblLook w:val="01E0" w:firstRow="1" w:lastRow="1" w:firstColumn="1" w:lastColumn="1" w:noHBand="0" w:noVBand="0"/>
      </w:tblPr>
      <w:tblGrid>
        <w:gridCol w:w="737"/>
        <w:gridCol w:w="2320"/>
        <w:gridCol w:w="1470"/>
        <w:gridCol w:w="3167"/>
        <w:gridCol w:w="2329"/>
      </w:tblGrid>
      <w:tr>
        <w:trPr>
          <w:tblHeader/>
        </w:trPr>
        <w:tc>
          <w:tcPr>
            <w:tcW w:w="3057" w:type="dxa"/>
            <w:gridSpan w:val="2"/>
            <w:shd w:val="clear" w:color="auto" w:fill="C4BC96"/>
            <w:vAlign w:val="center"/>
          </w:tcPr>
          <w:p>
            <w:pPr>
              <w:spacing w:before="60" w:after="60"/>
              <w:ind w:left="1243" w:hanging="1260"/>
            </w:pPr>
            <w:r>
              <w:t>Team</w:t>
            </w:r>
            <w:r>
              <w:rPr>
                <w:rStyle w:val="FootnoteReference"/>
              </w:rPr>
              <w:footnoteReference w:id="1"/>
            </w:r>
          </w:p>
        </w:tc>
        <w:tc>
          <w:tcPr>
            <w:tcW w:w="1470" w:type="dxa"/>
            <w:shd w:val="clear" w:color="auto" w:fill="C4BC96"/>
            <w:vAlign w:val="center"/>
          </w:tcPr>
          <w:p>
            <w:pPr>
              <w:spacing w:before="60" w:after="60"/>
              <w:ind w:left="1243" w:hanging="1260"/>
            </w:pPr>
            <w:r>
              <w:t>Co-Leaders</w:t>
            </w:r>
            <w:r>
              <w:rPr>
                <w:rStyle w:val="FootnoteReference"/>
              </w:rPr>
              <w:footnoteReference w:id="2"/>
            </w:r>
          </w:p>
        </w:tc>
        <w:tc>
          <w:tcPr>
            <w:tcW w:w="3167" w:type="dxa"/>
            <w:shd w:val="clear" w:color="auto" w:fill="C4BC96"/>
            <w:vAlign w:val="center"/>
          </w:tcPr>
          <w:p>
            <w:pPr>
              <w:spacing w:before="60" w:after="60"/>
            </w:pPr>
            <w:r>
              <w:t>Scope of Effort</w:t>
            </w:r>
          </w:p>
        </w:tc>
        <w:tc>
          <w:tcPr>
            <w:tcW w:w="2329" w:type="dxa"/>
            <w:shd w:val="clear" w:color="auto" w:fill="C4BC96"/>
            <w:vAlign w:val="center"/>
          </w:tcPr>
          <w:p>
            <w:pPr>
              <w:spacing w:before="60" w:after="60"/>
            </w:pPr>
            <w:r>
              <w:t>Team Primary Members</w:t>
            </w:r>
          </w:p>
        </w:tc>
      </w:tr>
      <w:tr>
        <w:tc>
          <w:tcPr>
            <w:tcW w:w="737" w:type="dxa"/>
          </w:tcPr>
          <w:p>
            <w:pPr>
              <w:spacing w:before="60" w:after="60"/>
            </w:pPr>
            <w:r>
              <w:t>1.</w:t>
            </w:r>
          </w:p>
        </w:tc>
        <w:tc>
          <w:tcPr>
            <w:tcW w:w="2320" w:type="dxa"/>
            <w:vMerge w:val="restart"/>
          </w:tcPr>
          <w:p>
            <w:pPr>
              <w:spacing w:before="60" w:after="60"/>
            </w:pPr>
            <w:r>
              <w:t>Transparency of Information</w:t>
            </w:r>
          </w:p>
        </w:tc>
        <w:tc>
          <w:tcPr>
            <w:tcW w:w="1470" w:type="dxa"/>
          </w:tcPr>
          <w:p>
            <w:pPr>
              <w:spacing w:before="60" w:after="60"/>
            </w:pPr>
            <w:r>
              <w:t>K Yeasting</w:t>
            </w:r>
          </w:p>
        </w:tc>
        <w:tc>
          <w:tcPr>
            <w:tcW w:w="3167" w:type="dxa"/>
            <w:vMerge w:val="restart"/>
          </w:tcPr>
          <w:p>
            <w:pPr>
              <w:spacing w:before="60" w:after="60"/>
            </w:pPr>
            <w:r>
              <w:rPr>
                <w:bCs/>
              </w:rPr>
              <w:t>Transparency and availability of interdependency data upon which to make decisions</w:t>
            </w:r>
          </w:p>
        </w:tc>
        <w:tc>
          <w:tcPr>
            <w:tcW w:w="2329" w:type="dxa"/>
          </w:tcPr>
          <w:p>
            <w:pPr>
              <w:spacing w:before="60" w:after="60"/>
            </w:pPr>
            <w:r>
              <w:t>J Buccigross</w:t>
            </w:r>
          </w:p>
        </w:tc>
      </w:tr>
      <w:tr>
        <w:tc>
          <w:tcPr>
            <w:tcW w:w="737" w:type="dxa"/>
          </w:tcPr>
          <w:p>
            <w:pPr>
              <w:spacing w:before="60" w:after="60"/>
            </w:pPr>
          </w:p>
        </w:tc>
        <w:tc>
          <w:tcPr>
            <w:tcW w:w="2320" w:type="dxa"/>
            <w:vMerge/>
          </w:tcPr>
          <w:p>
            <w:pPr>
              <w:spacing w:before="60" w:after="60"/>
            </w:pPr>
          </w:p>
        </w:tc>
        <w:tc>
          <w:tcPr>
            <w:tcW w:w="1470" w:type="dxa"/>
          </w:tcPr>
          <w:p>
            <w:pPr>
              <w:spacing w:before="60" w:after="60"/>
            </w:pPr>
            <w:r>
              <w:t xml:space="preserve">J </w:t>
            </w:r>
            <w:proofErr w:type="spellStart"/>
            <w:r>
              <w:t>Ogg</w:t>
            </w:r>
            <w:proofErr w:type="spellEnd"/>
          </w:p>
        </w:tc>
        <w:tc>
          <w:tcPr>
            <w:tcW w:w="3167" w:type="dxa"/>
            <w:vMerge/>
          </w:tcPr>
          <w:p>
            <w:pPr>
              <w:spacing w:before="60" w:after="60"/>
            </w:pPr>
          </w:p>
        </w:tc>
        <w:tc>
          <w:tcPr>
            <w:tcW w:w="2329" w:type="dxa"/>
          </w:tcPr>
          <w:p>
            <w:pPr>
              <w:spacing w:before="60" w:after="60"/>
            </w:pPr>
            <w:r>
              <w:t>A Fusco</w:t>
            </w:r>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vMerge/>
          </w:tcPr>
          <w:p>
            <w:pPr>
              <w:spacing w:before="60" w:after="60"/>
            </w:pPr>
          </w:p>
        </w:tc>
        <w:tc>
          <w:tcPr>
            <w:tcW w:w="2329" w:type="dxa"/>
          </w:tcPr>
          <w:p>
            <w:pPr>
              <w:spacing w:before="60" w:after="60"/>
            </w:pPr>
            <w:r>
              <w:t xml:space="preserve">M </w:t>
            </w:r>
            <w:smartTag w:uri="urn:schemas-microsoft-com:office:smarttags" w:element="place">
              <w:r>
                <w:t>Gent</w:t>
              </w:r>
            </w:smartTag>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pPr>
          </w:p>
        </w:tc>
        <w:tc>
          <w:tcPr>
            <w:tcW w:w="2329" w:type="dxa"/>
          </w:tcPr>
          <w:p>
            <w:pPr>
              <w:spacing w:before="60" w:after="60"/>
            </w:pPr>
            <w:r>
              <w:t>J Hurley</w:t>
            </w:r>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pPr>
          </w:p>
        </w:tc>
        <w:tc>
          <w:tcPr>
            <w:tcW w:w="2329" w:type="dxa"/>
          </w:tcPr>
          <w:p>
            <w:pPr>
              <w:spacing w:before="60" w:after="60"/>
            </w:pPr>
            <w:r>
              <w:t>L Oberski</w:t>
            </w:r>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pPr>
          </w:p>
        </w:tc>
        <w:tc>
          <w:tcPr>
            <w:tcW w:w="2329" w:type="dxa"/>
          </w:tcPr>
          <w:p>
            <w:pPr>
              <w:spacing w:before="60" w:after="60"/>
            </w:pPr>
            <w:r>
              <w:t>M Patterson</w:t>
            </w:r>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pPr>
          </w:p>
        </w:tc>
        <w:tc>
          <w:tcPr>
            <w:tcW w:w="2329" w:type="dxa"/>
          </w:tcPr>
          <w:p>
            <w:pPr>
              <w:spacing w:before="60" w:after="60"/>
            </w:pPr>
            <w:r>
              <w:t>A Rodriquez</w:t>
            </w:r>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pPr>
          </w:p>
        </w:tc>
        <w:tc>
          <w:tcPr>
            <w:tcW w:w="2329" w:type="dxa"/>
          </w:tcPr>
          <w:p>
            <w:pPr>
              <w:spacing w:before="60" w:after="60"/>
            </w:pPr>
            <w:r>
              <w:t>P Silberstein</w:t>
            </w:r>
          </w:p>
        </w:tc>
      </w:tr>
      <w:tr>
        <w:tc>
          <w:tcPr>
            <w:tcW w:w="3057" w:type="dxa"/>
            <w:gridSpan w:val="2"/>
            <w:shd w:val="clear" w:color="auto" w:fill="C4BC96"/>
          </w:tcPr>
          <w:p>
            <w:pPr>
              <w:spacing w:before="60" w:after="60"/>
            </w:pPr>
          </w:p>
        </w:tc>
        <w:tc>
          <w:tcPr>
            <w:tcW w:w="1470" w:type="dxa"/>
            <w:shd w:val="clear" w:color="auto" w:fill="C4BC96"/>
          </w:tcPr>
          <w:p>
            <w:pPr>
              <w:spacing w:before="60" w:after="60"/>
            </w:pPr>
          </w:p>
        </w:tc>
        <w:tc>
          <w:tcPr>
            <w:tcW w:w="3167" w:type="dxa"/>
            <w:shd w:val="clear" w:color="auto" w:fill="C4BC96"/>
          </w:tcPr>
          <w:p>
            <w:pPr>
              <w:spacing w:before="60" w:after="60"/>
            </w:pPr>
          </w:p>
        </w:tc>
        <w:tc>
          <w:tcPr>
            <w:tcW w:w="2329" w:type="dxa"/>
            <w:shd w:val="clear" w:color="auto" w:fill="C4BC96"/>
          </w:tcPr>
          <w:p>
            <w:pPr>
              <w:spacing w:before="60" w:after="60"/>
            </w:pPr>
          </w:p>
        </w:tc>
      </w:tr>
      <w:tr>
        <w:tc>
          <w:tcPr>
            <w:tcW w:w="737" w:type="dxa"/>
          </w:tcPr>
          <w:p>
            <w:pPr>
              <w:spacing w:before="60" w:after="60"/>
            </w:pPr>
            <w:r>
              <w:t>2.</w:t>
            </w:r>
          </w:p>
        </w:tc>
        <w:tc>
          <w:tcPr>
            <w:tcW w:w="2320" w:type="dxa"/>
            <w:vMerge w:val="restart"/>
          </w:tcPr>
          <w:p>
            <w:pPr>
              <w:spacing w:before="60" w:after="60"/>
            </w:pPr>
            <w:r>
              <w:t>Coordination of transactions</w:t>
            </w:r>
          </w:p>
        </w:tc>
        <w:tc>
          <w:tcPr>
            <w:tcW w:w="1470" w:type="dxa"/>
          </w:tcPr>
          <w:p>
            <w:pPr>
              <w:spacing w:before="60" w:after="60"/>
            </w:pPr>
            <w:r>
              <w:t>R Smead</w:t>
            </w:r>
          </w:p>
        </w:tc>
        <w:tc>
          <w:tcPr>
            <w:tcW w:w="3167" w:type="dxa"/>
            <w:vMerge w:val="restart"/>
          </w:tcPr>
          <w:p>
            <w:pPr>
              <w:spacing w:before="60" w:after="60"/>
            </w:pPr>
            <w:r>
              <w:rPr>
                <w:bCs/>
              </w:rPr>
              <w:t>Coordination of timelines and market functions</w:t>
            </w:r>
          </w:p>
        </w:tc>
        <w:tc>
          <w:tcPr>
            <w:tcW w:w="2329" w:type="dxa"/>
          </w:tcPr>
          <w:p>
            <w:pPr>
              <w:spacing w:before="60" w:after="60"/>
            </w:pPr>
            <w:r>
              <w:t>C Abercrombie</w:t>
            </w:r>
          </w:p>
        </w:tc>
      </w:tr>
      <w:tr>
        <w:tc>
          <w:tcPr>
            <w:tcW w:w="737" w:type="dxa"/>
          </w:tcPr>
          <w:p>
            <w:pPr>
              <w:spacing w:before="60" w:after="60"/>
            </w:pPr>
          </w:p>
        </w:tc>
        <w:tc>
          <w:tcPr>
            <w:tcW w:w="2320" w:type="dxa"/>
            <w:vMerge/>
          </w:tcPr>
          <w:p>
            <w:pPr>
              <w:spacing w:before="60" w:after="60"/>
            </w:pPr>
          </w:p>
        </w:tc>
        <w:tc>
          <w:tcPr>
            <w:tcW w:w="1470" w:type="dxa"/>
          </w:tcPr>
          <w:p>
            <w:pPr>
              <w:spacing w:before="60" w:after="60"/>
            </w:pPr>
            <w:r>
              <w:t>V Bailey</w:t>
            </w:r>
          </w:p>
        </w:tc>
        <w:tc>
          <w:tcPr>
            <w:tcW w:w="3167" w:type="dxa"/>
            <w:vMerge/>
          </w:tcPr>
          <w:p>
            <w:pPr>
              <w:spacing w:before="60" w:after="60"/>
            </w:pPr>
          </w:p>
        </w:tc>
        <w:tc>
          <w:tcPr>
            <w:tcW w:w="2329" w:type="dxa"/>
          </w:tcPr>
          <w:p>
            <w:pPr>
              <w:spacing w:before="60" w:after="60"/>
            </w:pPr>
            <w:r>
              <w:t xml:space="preserve">C </w:t>
            </w:r>
            <w:smartTag w:uri="urn:schemas-microsoft-com:office:smarttags" w:element="City">
              <w:smartTag w:uri="urn:schemas-microsoft-com:office:smarttags" w:element="place">
                <w:r>
                  <w:t>Colombo</w:t>
                </w:r>
              </w:smartTag>
            </w:smartTag>
          </w:p>
        </w:tc>
      </w:tr>
      <w:tr>
        <w:tc>
          <w:tcPr>
            <w:tcW w:w="737" w:type="dxa"/>
          </w:tcPr>
          <w:p>
            <w:pPr>
              <w:spacing w:before="60" w:after="60"/>
            </w:pPr>
          </w:p>
        </w:tc>
        <w:tc>
          <w:tcPr>
            <w:tcW w:w="2320" w:type="dxa"/>
          </w:tcPr>
          <w:p>
            <w:pPr>
              <w:spacing w:before="60" w:after="60"/>
            </w:pPr>
          </w:p>
        </w:tc>
        <w:tc>
          <w:tcPr>
            <w:tcW w:w="1470" w:type="dxa"/>
          </w:tcPr>
          <w:p>
            <w:pPr>
              <w:spacing w:before="60" w:after="60"/>
            </w:pPr>
            <w:r>
              <w:t xml:space="preserve">C </w:t>
            </w:r>
            <w:proofErr w:type="spellStart"/>
            <w:r>
              <w:t>Freitas</w:t>
            </w:r>
            <w:proofErr w:type="spellEnd"/>
          </w:p>
        </w:tc>
        <w:tc>
          <w:tcPr>
            <w:tcW w:w="3167" w:type="dxa"/>
          </w:tcPr>
          <w:p>
            <w:pPr>
              <w:spacing w:before="60" w:after="60"/>
            </w:pPr>
          </w:p>
        </w:tc>
        <w:tc>
          <w:tcPr>
            <w:tcW w:w="2329" w:type="dxa"/>
          </w:tcPr>
          <w:p>
            <w:pPr>
              <w:spacing w:before="60" w:after="60"/>
            </w:pPr>
            <w:r>
              <w:t>A DeBoissiere</w:t>
            </w:r>
          </w:p>
        </w:tc>
      </w:tr>
      <w:tr>
        <w:tc>
          <w:tcPr>
            <w:tcW w:w="737" w:type="dxa"/>
          </w:tcPr>
          <w:p>
            <w:pPr>
              <w:spacing w:before="60" w:after="60"/>
            </w:pPr>
          </w:p>
        </w:tc>
        <w:tc>
          <w:tcPr>
            <w:tcW w:w="2320" w:type="dxa"/>
          </w:tcPr>
          <w:p>
            <w:pPr>
              <w:spacing w:before="60" w:after="60"/>
            </w:pPr>
          </w:p>
        </w:tc>
        <w:tc>
          <w:tcPr>
            <w:tcW w:w="1470" w:type="dxa"/>
          </w:tcPr>
          <w:p>
            <w:pPr>
              <w:spacing w:before="60" w:after="60"/>
            </w:pPr>
            <w:r>
              <w:t>L Cross</w:t>
            </w:r>
          </w:p>
        </w:tc>
        <w:tc>
          <w:tcPr>
            <w:tcW w:w="3167" w:type="dxa"/>
          </w:tcPr>
          <w:p>
            <w:pPr>
              <w:spacing w:before="60" w:after="60"/>
            </w:pPr>
          </w:p>
        </w:tc>
        <w:tc>
          <w:tcPr>
            <w:tcW w:w="2329" w:type="dxa"/>
          </w:tcPr>
          <w:p>
            <w:pPr>
              <w:spacing w:before="60" w:after="60"/>
            </w:pPr>
            <w:r>
              <w:t>B Gallagher</w:t>
            </w:r>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pPr>
          </w:p>
        </w:tc>
        <w:tc>
          <w:tcPr>
            <w:tcW w:w="2329" w:type="dxa"/>
          </w:tcPr>
          <w:p>
            <w:pPr>
              <w:spacing w:before="60" w:after="60"/>
            </w:pPr>
            <w:r>
              <w:t>M Goldenberg</w:t>
            </w:r>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pPr>
          </w:p>
        </w:tc>
        <w:tc>
          <w:tcPr>
            <w:tcW w:w="2329" w:type="dxa"/>
          </w:tcPr>
          <w:p>
            <w:pPr>
              <w:spacing w:before="60" w:after="60"/>
            </w:pPr>
            <w:r>
              <w:t xml:space="preserve">J </w:t>
            </w:r>
            <w:proofErr w:type="spellStart"/>
            <w:r>
              <w:t>Hartsoe</w:t>
            </w:r>
            <w:proofErr w:type="spellEnd"/>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pPr>
          </w:p>
        </w:tc>
        <w:tc>
          <w:tcPr>
            <w:tcW w:w="2329" w:type="dxa"/>
          </w:tcPr>
          <w:p>
            <w:pPr>
              <w:spacing w:before="60" w:after="60"/>
            </w:pPr>
            <w:r>
              <w:t>K Kirby</w:t>
            </w:r>
          </w:p>
        </w:tc>
      </w:tr>
      <w:tr>
        <w:trPr>
          <w:trHeight w:val="342"/>
        </w:trP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pPr>
          </w:p>
        </w:tc>
        <w:tc>
          <w:tcPr>
            <w:tcW w:w="2329" w:type="dxa"/>
          </w:tcPr>
          <w:p>
            <w:pPr>
              <w:spacing w:before="60" w:after="60"/>
            </w:pPr>
            <w:r>
              <w:t>R Kruse</w:t>
            </w:r>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pPr>
          </w:p>
        </w:tc>
        <w:tc>
          <w:tcPr>
            <w:tcW w:w="2329" w:type="dxa"/>
          </w:tcPr>
          <w:p>
            <w:pPr>
              <w:spacing w:before="60" w:after="60"/>
            </w:pPr>
            <w:r>
              <w:t>G Lander</w:t>
            </w:r>
          </w:p>
        </w:tc>
      </w:tr>
      <w:tr>
        <w:tc>
          <w:tcPr>
            <w:tcW w:w="737" w:type="dxa"/>
            <w:shd w:val="clear" w:color="auto" w:fill="C4BC96"/>
          </w:tcPr>
          <w:p>
            <w:pPr>
              <w:spacing w:before="60" w:after="60"/>
            </w:pPr>
          </w:p>
        </w:tc>
        <w:tc>
          <w:tcPr>
            <w:tcW w:w="2320" w:type="dxa"/>
            <w:shd w:val="clear" w:color="auto" w:fill="C4BC96"/>
          </w:tcPr>
          <w:p>
            <w:pPr>
              <w:spacing w:before="60" w:after="60"/>
            </w:pPr>
          </w:p>
        </w:tc>
        <w:tc>
          <w:tcPr>
            <w:tcW w:w="1470" w:type="dxa"/>
            <w:shd w:val="clear" w:color="auto" w:fill="C4BC96"/>
          </w:tcPr>
          <w:p>
            <w:pPr>
              <w:spacing w:before="60" w:after="60"/>
            </w:pPr>
          </w:p>
        </w:tc>
        <w:tc>
          <w:tcPr>
            <w:tcW w:w="3167" w:type="dxa"/>
            <w:shd w:val="clear" w:color="auto" w:fill="C4BC96"/>
          </w:tcPr>
          <w:p>
            <w:pPr>
              <w:spacing w:before="60" w:after="60"/>
            </w:pPr>
          </w:p>
        </w:tc>
        <w:tc>
          <w:tcPr>
            <w:tcW w:w="2329" w:type="dxa"/>
            <w:shd w:val="clear" w:color="auto" w:fill="C4BC96"/>
          </w:tcPr>
          <w:p>
            <w:pPr>
              <w:spacing w:before="60" w:after="60"/>
            </w:pPr>
          </w:p>
        </w:tc>
      </w:tr>
      <w:tr>
        <w:tc>
          <w:tcPr>
            <w:tcW w:w="737" w:type="dxa"/>
          </w:tcPr>
          <w:p>
            <w:pPr>
              <w:spacing w:before="60" w:after="60"/>
            </w:pPr>
            <w:r>
              <w:t>3.</w:t>
            </w:r>
          </w:p>
        </w:tc>
        <w:tc>
          <w:tcPr>
            <w:tcW w:w="2320" w:type="dxa"/>
            <w:vMerge w:val="restart"/>
          </w:tcPr>
          <w:p>
            <w:pPr>
              <w:spacing w:before="60" w:after="60"/>
            </w:pPr>
            <w:r>
              <w:t>Operations/Commercial Practices</w:t>
            </w:r>
          </w:p>
        </w:tc>
        <w:tc>
          <w:tcPr>
            <w:tcW w:w="1470" w:type="dxa"/>
          </w:tcPr>
          <w:p>
            <w:pPr>
              <w:spacing w:before="60" w:after="60"/>
            </w:pPr>
            <w:r>
              <w:t>T Simon</w:t>
            </w:r>
          </w:p>
        </w:tc>
        <w:tc>
          <w:tcPr>
            <w:tcW w:w="3167" w:type="dxa"/>
            <w:vMerge w:val="restart"/>
          </w:tcPr>
          <w:p>
            <w:pPr>
              <w:spacing w:before="60" w:after="60"/>
            </w:pPr>
            <w:r>
              <w:rPr>
                <w:bCs/>
              </w:rPr>
              <w:t>Identification of transmission bottlenecks, identification of the needed fuel and delivery service against must-run requirements for generators and similar operational and commercial decisions</w:t>
            </w:r>
          </w:p>
        </w:tc>
        <w:tc>
          <w:tcPr>
            <w:tcW w:w="2329" w:type="dxa"/>
          </w:tcPr>
          <w:p>
            <w:pPr>
              <w:spacing w:before="60" w:after="60"/>
            </w:pPr>
            <w:r>
              <w:t>S Barry</w:t>
            </w:r>
          </w:p>
        </w:tc>
      </w:tr>
      <w:tr>
        <w:tc>
          <w:tcPr>
            <w:tcW w:w="737" w:type="dxa"/>
          </w:tcPr>
          <w:p>
            <w:pPr>
              <w:spacing w:before="60" w:after="60"/>
            </w:pPr>
          </w:p>
        </w:tc>
        <w:tc>
          <w:tcPr>
            <w:tcW w:w="2320" w:type="dxa"/>
            <w:vMerge/>
          </w:tcPr>
          <w:p>
            <w:pPr>
              <w:spacing w:before="60" w:after="60"/>
            </w:pPr>
          </w:p>
        </w:tc>
        <w:tc>
          <w:tcPr>
            <w:tcW w:w="1470" w:type="dxa"/>
          </w:tcPr>
          <w:p>
            <w:pPr>
              <w:spacing w:before="60" w:after="60"/>
            </w:pPr>
            <w:r>
              <w:t>B Gee</w:t>
            </w:r>
          </w:p>
        </w:tc>
        <w:tc>
          <w:tcPr>
            <w:tcW w:w="3167" w:type="dxa"/>
            <w:vMerge/>
          </w:tcPr>
          <w:p>
            <w:pPr>
              <w:spacing w:before="60" w:after="60"/>
            </w:pPr>
          </w:p>
        </w:tc>
        <w:tc>
          <w:tcPr>
            <w:tcW w:w="2329" w:type="dxa"/>
          </w:tcPr>
          <w:p>
            <w:pPr>
              <w:spacing w:before="60" w:after="60"/>
            </w:pPr>
            <w:r>
              <w:t xml:space="preserve">R </w:t>
            </w:r>
            <w:smartTag w:uri="urn:schemas-microsoft-com:office:smarttags" w:element="City">
              <w:smartTag w:uri="urn:schemas-microsoft-com:office:smarttags" w:element="place">
                <w:r>
                  <w:t>Cleveland</w:t>
                </w:r>
              </w:smartTag>
            </w:smartTag>
          </w:p>
        </w:tc>
      </w:tr>
      <w:tr>
        <w:tc>
          <w:tcPr>
            <w:tcW w:w="737" w:type="dxa"/>
          </w:tcPr>
          <w:p>
            <w:pPr>
              <w:spacing w:before="60" w:after="60"/>
            </w:pPr>
          </w:p>
        </w:tc>
        <w:tc>
          <w:tcPr>
            <w:tcW w:w="2320" w:type="dxa"/>
          </w:tcPr>
          <w:p>
            <w:pPr>
              <w:spacing w:before="60" w:after="60"/>
            </w:pPr>
          </w:p>
        </w:tc>
        <w:tc>
          <w:tcPr>
            <w:tcW w:w="1470" w:type="dxa"/>
          </w:tcPr>
          <w:p>
            <w:pPr>
              <w:spacing w:before="60" w:after="60"/>
            </w:pPr>
            <w:r>
              <w:t>T Thorn</w:t>
            </w:r>
          </w:p>
        </w:tc>
        <w:tc>
          <w:tcPr>
            <w:tcW w:w="3167" w:type="dxa"/>
            <w:vMerge/>
          </w:tcPr>
          <w:p>
            <w:pPr>
              <w:spacing w:before="60" w:after="60"/>
            </w:pPr>
          </w:p>
        </w:tc>
        <w:tc>
          <w:tcPr>
            <w:tcW w:w="2329" w:type="dxa"/>
          </w:tcPr>
          <w:p>
            <w:pPr>
              <w:spacing w:before="60" w:after="60"/>
            </w:pPr>
            <w:r>
              <w:t>K Elder</w:t>
            </w:r>
          </w:p>
        </w:tc>
      </w:tr>
      <w:tr>
        <w:tc>
          <w:tcPr>
            <w:tcW w:w="737" w:type="dxa"/>
          </w:tcPr>
          <w:p>
            <w:pPr>
              <w:spacing w:before="60" w:after="60"/>
            </w:pPr>
          </w:p>
        </w:tc>
        <w:tc>
          <w:tcPr>
            <w:tcW w:w="2320" w:type="dxa"/>
          </w:tcPr>
          <w:p>
            <w:pPr>
              <w:spacing w:before="60" w:after="60"/>
            </w:pPr>
          </w:p>
        </w:tc>
        <w:tc>
          <w:tcPr>
            <w:tcW w:w="1470" w:type="dxa"/>
          </w:tcPr>
          <w:p>
            <w:pPr>
              <w:spacing w:before="60" w:after="60"/>
            </w:pPr>
            <w:r>
              <w:t>L Epifani</w:t>
            </w:r>
          </w:p>
        </w:tc>
        <w:tc>
          <w:tcPr>
            <w:tcW w:w="3167" w:type="dxa"/>
            <w:vMerge/>
          </w:tcPr>
          <w:p>
            <w:pPr>
              <w:spacing w:before="60" w:after="60"/>
              <w:rPr>
                <w:b/>
              </w:rPr>
            </w:pPr>
          </w:p>
        </w:tc>
        <w:tc>
          <w:tcPr>
            <w:tcW w:w="2329" w:type="dxa"/>
          </w:tcPr>
          <w:p>
            <w:pPr>
              <w:spacing w:before="60" w:after="60"/>
            </w:pPr>
            <w:r>
              <w:t>B Ellsworth</w:t>
            </w:r>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vMerge/>
          </w:tcPr>
          <w:p>
            <w:pPr>
              <w:spacing w:before="60" w:after="60"/>
              <w:rPr>
                <w:b/>
              </w:rPr>
            </w:pPr>
          </w:p>
        </w:tc>
        <w:tc>
          <w:tcPr>
            <w:tcW w:w="2329" w:type="dxa"/>
          </w:tcPr>
          <w:p>
            <w:pPr>
              <w:spacing w:before="60" w:after="60"/>
            </w:pPr>
            <w:r>
              <w:t>M Goldenberg</w:t>
            </w:r>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rPr>
                <w:b/>
              </w:rPr>
            </w:pPr>
          </w:p>
        </w:tc>
        <w:tc>
          <w:tcPr>
            <w:tcW w:w="2329" w:type="dxa"/>
          </w:tcPr>
          <w:p>
            <w:pPr>
              <w:spacing w:before="60" w:after="60"/>
            </w:pPr>
            <w:smartTag w:uri="urn:schemas-microsoft-com:office:smarttags" w:element="place">
              <w:r>
                <w:t>W Moore</w:t>
              </w:r>
            </w:smartTag>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rPr>
                <w:b/>
              </w:rPr>
            </w:pPr>
          </w:p>
        </w:tc>
        <w:tc>
          <w:tcPr>
            <w:tcW w:w="2329" w:type="dxa"/>
          </w:tcPr>
          <w:p>
            <w:pPr>
              <w:spacing w:before="60" w:after="60"/>
            </w:pPr>
            <w:r>
              <w:t xml:space="preserve">R </w:t>
            </w:r>
            <w:proofErr w:type="spellStart"/>
            <w:r>
              <w:t>Mukerji</w:t>
            </w:r>
            <w:proofErr w:type="spellEnd"/>
          </w:p>
        </w:tc>
      </w:tr>
      <w:tr>
        <w:tc>
          <w:tcPr>
            <w:tcW w:w="737" w:type="dxa"/>
          </w:tcPr>
          <w:p>
            <w:pPr>
              <w:spacing w:before="60" w:after="60"/>
            </w:pPr>
          </w:p>
        </w:tc>
        <w:tc>
          <w:tcPr>
            <w:tcW w:w="2320" w:type="dxa"/>
          </w:tcPr>
          <w:p>
            <w:pPr>
              <w:spacing w:before="60" w:after="60"/>
            </w:pPr>
          </w:p>
        </w:tc>
        <w:tc>
          <w:tcPr>
            <w:tcW w:w="1470" w:type="dxa"/>
          </w:tcPr>
          <w:p>
            <w:pPr>
              <w:spacing w:before="60" w:after="60"/>
            </w:pPr>
          </w:p>
        </w:tc>
        <w:tc>
          <w:tcPr>
            <w:tcW w:w="3167" w:type="dxa"/>
          </w:tcPr>
          <w:p>
            <w:pPr>
              <w:spacing w:before="60" w:after="60"/>
              <w:rPr>
                <w:b/>
              </w:rPr>
            </w:pPr>
          </w:p>
        </w:tc>
        <w:tc>
          <w:tcPr>
            <w:tcW w:w="2329" w:type="dxa"/>
          </w:tcPr>
          <w:p>
            <w:pPr>
              <w:spacing w:before="60" w:after="60"/>
            </w:pPr>
            <w:r>
              <w:t>R Parker</w:t>
            </w:r>
          </w:p>
        </w:tc>
      </w:tr>
      <w:tr>
        <w:tc>
          <w:tcPr>
            <w:tcW w:w="737" w:type="dxa"/>
            <w:tcBorders>
              <w:bottom w:val="single" w:sz="4" w:space="0" w:color="auto"/>
            </w:tcBorders>
          </w:tcPr>
          <w:p>
            <w:pPr>
              <w:spacing w:before="60" w:after="60"/>
            </w:pPr>
          </w:p>
        </w:tc>
        <w:tc>
          <w:tcPr>
            <w:tcW w:w="2320" w:type="dxa"/>
            <w:tcBorders>
              <w:bottom w:val="single" w:sz="4" w:space="0" w:color="auto"/>
            </w:tcBorders>
          </w:tcPr>
          <w:p>
            <w:pPr>
              <w:spacing w:before="60" w:after="60"/>
            </w:pPr>
          </w:p>
        </w:tc>
        <w:tc>
          <w:tcPr>
            <w:tcW w:w="1470" w:type="dxa"/>
            <w:tcBorders>
              <w:bottom w:val="single" w:sz="4" w:space="0" w:color="auto"/>
            </w:tcBorders>
          </w:tcPr>
          <w:p>
            <w:pPr>
              <w:spacing w:before="60" w:after="60"/>
            </w:pPr>
          </w:p>
        </w:tc>
        <w:tc>
          <w:tcPr>
            <w:tcW w:w="3167" w:type="dxa"/>
            <w:tcBorders>
              <w:bottom w:val="single" w:sz="4" w:space="0" w:color="auto"/>
            </w:tcBorders>
          </w:tcPr>
          <w:p>
            <w:pPr>
              <w:spacing w:before="60" w:after="60"/>
              <w:rPr>
                <w:b/>
              </w:rPr>
            </w:pPr>
          </w:p>
        </w:tc>
        <w:tc>
          <w:tcPr>
            <w:tcW w:w="2329" w:type="dxa"/>
            <w:tcBorders>
              <w:bottom w:val="single" w:sz="4" w:space="0" w:color="auto"/>
            </w:tcBorders>
          </w:tcPr>
          <w:p>
            <w:pPr>
              <w:spacing w:before="60" w:after="60"/>
            </w:pPr>
            <w:r>
              <w:t>K Sappenfield</w:t>
            </w:r>
          </w:p>
        </w:tc>
      </w:tr>
    </w:tbl>
    <w:p>
      <w:pPr>
        <w:spacing w:before="120"/>
      </w:pPr>
    </w:p>
    <w:p>
      <w:pPr>
        <w:spacing w:before="120"/>
        <w:jc w:val="center"/>
        <w:rPr>
          <w:bCs/>
        </w:rPr>
        <w:sectPr>
          <w:headerReference w:type="even" r:id="rId16"/>
          <w:headerReference w:type="default" r:id="rId17"/>
          <w:headerReference w:type="first" r:id="rId18"/>
          <w:pgSz w:w="12240" w:h="15840" w:code="1"/>
          <w:pgMar w:top="720" w:right="1267" w:bottom="720" w:left="1166" w:header="720" w:footer="720" w:gutter="0"/>
          <w:cols w:space="720"/>
          <w:docGrid w:linePitch="272"/>
        </w:sectPr>
      </w:pPr>
    </w:p>
    <w:tbl>
      <w:tblPr>
        <w:tblW w:w="10252" w:type="dxa"/>
        <w:tblLayout w:type="fixed"/>
        <w:tblLook w:val="01E0" w:firstRow="1" w:lastRow="1" w:firstColumn="1" w:lastColumn="1" w:noHBand="0" w:noVBand="0"/>
      </w:tblPr>
      <w:tblGrid>
        <w:gridCol w:w="2988"/>
        <w:gridCol w:w="3420"/>
        <w:gridCol w:w="3844"/>
      </w:tblGrid>
      <w:tr>
        <w:trPr>
          <w:tblHeader/>
        </w:trPr>
        <w:tc>
          <w:tcPr>
            <w:tcW w:w="10252" w:type="dxa"/>
            <w:gridSpan w:val="3"/>
            <w:tcBorders>
              <w:bottom w:val="single" w:sz="4" w:space="0" w:color="auto"/>
            </w:tcBorders>
          </w:tcPr>
          <w:p>
            <w:pPr>
              <w:pStyle w:val="BodyText"/>
              <w:spacing w:before="240" w:after="240"/>
              <w:jc w:val="center"/>
            </w:pPr>
            <w:r>
              <w:rPr>
                <w:sz w:val="20"/>
              </w:rPr>
              <w:lastRenderedPageBreak/>
              <w:br w:type="page"/>
            </w:r>
            <w:r>
              <w:rPr>
                <w:b/>
                <w:smallCaps/>
                <w:sz w:val="20"/>
              </w:rPr>
              <w:t>Gas-Electric Harmonization Committee Timeline -- Schedule of Meetings and Deliverables</w:t>
            </w:r>
            <w:r>
              <w:rPr>
                <w:b/>
                <w:sz w:val="20"/>
              </w:rPr>
              <w:t xml:space="preserve"> </w:t>
            </w:r>
          </w:p>
        </w:tc>
      </w:tr>
      <w:tr>
        <w:trPr>
          <w:tblHeader/>
        </w:trPr>
        <w:tc>
          <w:tcPr>
            <w:tcW w:w="2988" w:type="dxa"/>
            <w:tcBorders>
              <w:top w:val="single" w:sz="4" w:space="0" w:color="auto"/>
              <w:bottom w:val="single" w:sz="4" w:space="0" w:color="auto"/>
            </w:tcBorders>
          </w:tcPr>
          <w:p>
            <w:pPr>
              <w:autoSpaceDE w:val="0"/>
              <w:autoSpaceDN w:val="0"/>
              <w:adjustRightInd w:val="0"/>
              <w:spacing w:before="40" w:after="40"/>
            </w:pPr>
            <w:r>
              <w:t>Date/Time</w:t>
            </w:r>
          </w:p>
        </w:tc>
        <w:tc>
          <w:tcPr>
            <w:tcW w:w="3420" w:type="dxa"/>
            <w:tcBorders>
              <w:top w:val="single" w:sz="4" w:space="0" w:color="auto"/>
              <w:bottom w:val="single" w:sz="4" w:space="0" w:color="auto"/>
            </w:tcBorders>
          </w:tcPr>
          <w:p>
            <w:pPr>
              <w:autoSpaceDE w:val="0"/>
              <w:autoSpaceDN w:val="0"/>
              <w:adjustRightInd w:val="0"/>
              <w:spacing w:before="40" w:after="40"/>
            </w:pPr>
            <w:r>
              <w:t>Meeting</w:t>
            </w:r>
          </w:p>
        </w:tc>
        <w:tc>
          <w:tcPr>
            <w:tcW w:w="3844" w:type="dxa"/>
            <w:tcBorders>
              <w:top w:val="single" w:sz="4" w:space="0" w:color="auto"/>
              <w:bottom w:val="single" w:sz="4" w:space="0" w:color="auto"/>
            </w:tcBorders>
          </w:tcPr>
          <w:p>
            <w:pPr>
              <w:autoSpaceDE w:val="0"/>
              <w:autoSpaceDN w:val="0"/>
              <w:adjustRightInd w:val="0"/>
              <w:spacing w:before="40" w:after="40"/>
            </w:pPr>
            <w:r>
              <w:t>Deliverables</w:t>
            </w:r>
          </w:p>
        </w:tc>
      </w:tr>
      <w:tr>
        <w:tc>
          <w:tcPr>
            <w:tcW w:w="2988" w:type="dxa"/>
          </w:tcPr>
          <w:p>
            <w:pPr>
              <w:autoSpaceDE w:val="0"/>
              <w:autoSpaceDN w:val="0"/>
              <w:adjustRightInd w:val="0"/>
              <w:spacing w:before="120" w:after="40"/>
            </w:pPr>
            <w:r>
              <w:t>January 27, 1:00 pm to 4:00 pm</w:t>
            </w:r>
          </w:p>
        </w:tc>
        <w:tc>
          <w:tcPr>
            <w:tcW w:w="3420" w:type="dxa"/>
          </w:tcPr>
          <w:p>
            <w:pPr>
              <w:autoSpaceDE w:val="0"/>
              <w:autoSpaceDN w:val="0"/>
              <w:adjustRightInd w:val="0"/>
              <w:spacing w:before="120" w:after="40"/>
            </w:pPr>
            <w:r>
              <w:t>Conference Call &amp; Web Cast</w:t>
            </w:r>
            <w:r>
              <w:br/>
              <w:t>Full Committee - Organizational</w:t>
            </w:r>
          </w:p>
        </w:tc>
        <w:tc>
          <w:tcPr>
            <w:tcW w:w="3844" w:type="dxa"/>
          </w:tcPr>
          <w:p>
            <w:pPr>
              <w:autoSpaceDE w:val="0"/>
              <w:autoSpaceDN w:val="0"/>
              <w:adjustRightInd w:val="0"/>
              <w:spacing w:before="120" w:after="40"/>
            </w:pPr>
            <w:r>
              <w:t>Introduction to the Committee</w:t>
            </w:r>
          </w:p>
        </w:tc>
      </w:tr>
      <w:tr>
        <w:trPr>
          <w:trHeight w:val="243"/>
        </w:trPr>
        <w:tc>
          <w:tcPr>
            <w:tcW w:w="2988" w:type="dxa"/>
          </w:tcPr>
          <w:p>
            <w:pPr>
              <w:autoSpaceDE w:val="0"/>
              <w:autoSpaceDN w:val="0"/>
              <w:adjustRightInd w:val="0"/>
              <w:spacing w:before="120" w:after="40"/>
            </w:pPr>
            <w:r>
              <w:t>February 15, 1:00 pm to 4:00 pm</w:t>
            </w:r>
          </w:p>
        </w:tc>
        <w:tc>
          <w:tcPr>
            <w:tcW w:w="3420" w:type="dxa"/>
          </w:tcPr>
          <w:p>
            <w:pPr>
              <w:autoSpaceDE w:val="0"/>
              <w:autoSpaceDN w:val="0"/>
              <w:adjustRightInd w:val="0"/>
              <w:spacing w:before="120" w:after="40"/>
            </w:pPr>
            <w:r>
              <w:t>Conference Call &amp; Web Cast</w:t>
            </w:r>
            <w:r>
              <w:br/>
              <w:t>Full Committee</w:t>
            </w:r>
          </w:p>
        </w:tc>
        <w:tc>
          <w:tcPr>
            <w:tcW w:w="3844" w:type="dxa"/>
          </w:tcPr>
          <w:p>
            <w:pPr>
              <w:autoSpaceDE w:val="0"/>
              <w:autoSpaceDN w:val="0"/>
              <w:adjustRightInd w:val="0"/>
              <w:spacing w:before="120" w:after="40"/>
            </w:pPr>
            <w:r>
              <w:t>Review Work Plan and Assignments</w:t>
            </w:r>
          </w:p>
        </w:tc>
      </w:tr>
      <w:tr>
        <w:tc>
          <w:tcPr>
            <w:tcW w:w="2988" w:type="dxa"/>
          </w:tcPr>
          <w:p>
            <w:pPr>
              <w:autoSpaceDE w:val="0"/>
              <w:autoSpaceDN w:val="0"/>
              <w:adjustRightInd w:val="0"/>
              <w:spacing w:before="120" w:after="40"/>
            </w:pPr>
            <w:r>
              <w:t xml:space="preserve">March  20, 1:00 pm to 4:00 pm </w:t>
            </w:r>
          </w:p>
        </w:tc>
        <w:tc>
          <w:tcPr>
            <w:tcW w:w="3420" w:type="dxa"/>
          </w:tcPr>
          <w:p>
            <w:pPr>
              <w:autoSpaceDE w:val="0"/>
              <w:autoSpaceDN w:val="0"/>
              <w:adjustRightInd w:val="0"/>
              <w:spacing w:before="120" w:after="40"/>
            </w:pPr>
            <w:r>
              <w:t>Conference Call &amp; Web Cast</w:t>
            </w:r>
            <w:r>
              <w:br/>
              <w:t>Full Committee</w:t>
            </w:r>
          </w:p>
        </w:tc>
        <w:tc>
          <w:tcPr>
            <w:tcW w:w="3844" w:type="dxa"/>
          </w:tcPr>
          <w:p>
            <w:pPr>
              <w:autoSpaceDE w:val="0"/>
              <w:autoSpaceDN w:val="0"/>
              <w:adjustRightInd w:val="0"/>
              <w:spacing w:before="120" w:after="40"/>
            </w:pPr>
            <w:r>
              <w:t>Review Work Plan and Assignments and Progress Made to date regarding formation of recommendation</w:t>
            </w:r>
          </w:p>
        </w:tc>
      </w:tr>
      <w:tr>
        <w:tc>
          <w:tcPr>
            <w:tcW w:w="2988" w:type="dxa"/>
          </w:tcPr>
          <w:p>
            <w:pPr>
              <w:autoSpaceDE w:val="0"/>
              <w:autoSpaceDN w:val="0"/>
              <w:adjustRightInd w:val="0"/>
              <w:spacing w:before="120" w:after="40"/>
            </w:pPr>
            <w:r>
              <w:t>March 22  – 9:00 am to 1:00 pm</w:t>
            </w:r>
          </w:p>
        </w:tc>
        <w:tc>
          <w:tcPr>
            <w:tcW w:w="3420" w:type="dxa"/>
          </w:tcPr>
          <w:p>
            <w:pPr>
              <w:autoSpaceDE w:val="0"/>
              <w:autoSpaceDN w:val="0"/>
              <w:adjustRightInd w:val="0"/>
              <w:spacing w:before="120" w:after="40"/>
            </w:pPr>
            <w:r>
              <w:t>NAESB Board Meeting, Houston</w:t>
            </w:r>
          </w:p>
        </w:tc>
        <w:tc>
          <w:tcPr>
            <w:tcW w:w="3844" w:type="dxa"/>
          </w:tcPr>
          <w:p>
            <w:pPr>
              <w:tabs>
                <w:tab w:val="left" w:pos="2520"/>
                <w:tab w:val="left" w:pos="2970"/>
              </w:tabs>
              <w:autoSpaceDE w:val="0"/>
              <w:autoSpaceDN w:val="0"/>
              <w:adjustRightInd w:val="0"/>
              <w:spacing w:before="120" w:after="40"/>
            </w:pPr>
            <w:r>
              <w:t>Review of Progress of Committee</w:t>
            </w:r>
          </w:p>
        </w:tc>
      </w:tr>
      <w:tr>
        <w:tc>
          <w:tcPr>
            <w:tcW w:w="2988" w:type="dxa"/>
          </w:tcPr>
          <w:p>
            <w:pPr>
              <w:autoSpaceDE w:val="0"/>
              <w:autoSpaceDN w:val="0"/>
              <w:adjustRightInd w:val="0"/>
              <w:spacing w:before="120" w:after="40"/>
            </w:pPr>
            <w:r>
              <w:t>April 4, 1:00 pm to 4:00 pm (Pending)</w:t>
            </w:r>
          </w:p>
        </w:tc>
        <w:tc>
          <w:tcPr>
            <w:tcW w:w="3420" w:type="dxa"/>
          </w:tcPr>
          <w:p>
            <w:pPr>
              <w:autoSpaceDE w:val="0"/>
              <w:autoSpaceDN w:val="0"/>
              <w:adjustRightInd w:val="0"/>
              <w:spacing w:before="120" w:after="40"/>
            </w:pPr>
            <w:r>
              <w:t>Conference Call &amp; Web Cast</w:t>
            </w:r>
            <w:r>
              <w:br/>
              <w:t>Full Committee</w:t>
            </w:r>
          </w:p>
        </w:tc>
        <w:tc>
          <w:tcPr>
            <w:tcW w:w="3844" w:type="dxa"/>
          </w:tcPr>
          <w:p>
            <w:pPr>
              <w:autoSpaceDE w:val="0"/>
              <w:autoSpaceDN w:val="0"/>
              <w:adjustRightInd w:val="0"/>
              <w:spacing w:before="120" w:after="40"/>
            </w:pPr>
            <w:r>
              <w:t>Review Work Plan and Assignments and Progress Made to date regarding formation of recommendation</w:t>
            </w:r>
          </w:p>
        </w:tc>
      </w:tr>
      <w:tr>
        <w:tc>
          <w:tcPr>
            <w:tcW w:w="2988" w:type="dxa"/>
          </w:tcPr>
          <w:p>
            <w:pPr>
              <w:autoSpaceDE w:val="0"/>
              <w:autoSpaceDN w:val="0"/>
              <w:adjustRightInd w:val="0"/>
              <w:spacing w:before="120" w:after="40"/>
            </w:pPr>
            <w:r>
              <w:t>May 16, 1:00 pm to 4:00 pm (Pending)</w:t>
            </w:r>
          </w:p>
        </w:tc>
        <w:tc>
          <w:tcPr>
            <w:tcW w:w="3420" w:type="dxa"/>
          </w:tcPr>
          <w:p>
            <w:pPr>
              <w:autoSpaceDE w:val="0"/>
              <w:autoSpaceDN w:val="0"/>
              <w:adjustRightInd w:val="0"/>
              <w:spacing w:before="120" w:after="40"/>
            </w:pPr>
            <w:r>
              <w:t>Conference Call &amp; Web Cast</w:t>
            </w:r>
            <w:r>
              <w:br/>
              <w:t>Full Committee</w:t>
            </w:r>
          </w:p>
        </w:tc>
        <w:tc>
          <w:tcPr>
            <w:tcW w:w="3844" w:type="dxa"/>
          </w:tcPr>
          <w:p>
            <w:pPr>
              <w:autoSpaceDE w:val="0"/>
              <w:autoSpaceDN w:val="0"/>
              <w:adjustRightInd w:val="0"/>
              <w:spacing w:before="120" w:after="40"/>
            </w:pPr>
            <w:r>
              <w:t>Review Work Plan and Assignments and Progress Made to date regarding formation of recommendation</w:t>
            </w:r>
          </w:p>
        </w:tc>
      </w:tr>
      <w:tr>
        <w:tc>
          <w:tcPr>
            <w:tcW w:w="2988" w:type="dxa"/>
          </w:tcPr>
          <w:p>
            <w:pPr>
              <w:autoSpaceDE w:val="0"/>
              <w:autoSpaceDN w:val="0"/>
              <w:adjustRightInd w:val="0"/>
              <w:spacing w:before="120" w:after="40"/>
            </w:pPr>
            <w:r>
              <w:t>June 5, 1:00 pm to 4:00 pm (Pending)</w:t>
            </w:r>
          </w:p>
        </w:tc>
        <w:tc>
          <w:tcPr>
            <w:tcW w:w="3420" w:type="dxa"/>
          </w:tcPr>
          <w:p>
            <w:pPr>
              <w:autoSpaceDE w:val="0"/>
              <w:autoSpaceDN w:val="0"/>
              <w:adjustRightInd w:val="0"/>
              <w:spacing w:before="120" w:after="40"/>
            </w:pPr>
            <w:r>
              <w:t>Conference Call &amp; Web Cast</w:t>
            </w:r>
            <w:r>
              <w:br/>
              <w:t>Full Committee</w:t>
            </w:r>
          </w:p>
        </w:tc>
        <w:tc>
          <w:tcPr>
            <w:tcW w:w="3844" w:type="dxa"/>
          </w:tcPr>
          <w:p>
            <w:pPr>
              <w:autoSpaceDE w:val="0"/>
              <w:autoSpaceDN w:val="0"/>
              <w:adjustRightInd w:val="0"/>
              <w:spacing w:before="120" w:after="40"/>
            </w:pPr>
            <w:r>
              <w:t>Review Work Plan and Assignments and Progress Made to date regarding formation of recommendation</w:t>
            </w:r>
          </w:p>
        </w:tc>
      </w:tr>
      <w:tr>
        <w:tc>
          <w:tcPr>
            <w:tcW w:w="2988" w:type="dxa"/>
          </w:tcPr>
          <w:p>
            <w:pPr>
              <w:autoSpaceDE w:val="0"/>
              <w:autoSpaceDN w:val="0"/>
              <w:adjustRightInd w:val="0"/>
              <w:spacing w:before="120" w:after="40"/>
            </w:pPr>
            <w:r>
              <w:t>June 21 – 9:00 am to 1:00 pm</w:t>
            </w:r>
          </w:p>
        </w:tc>
        <w:tc>
          <w:tcPr>
            <w:tcW w:w="3420" w:type="dxa"/>
          </w:tcPr>
          <w:p>
            <w:pPr>
              <w:autoSpaceDE w:val="0"/>
              <w:autoSpaceDN w:val="0"/>
              <w:adjustRightInd w:val="0"/>
              <w:spacing w:before="120" w:after="40"/>
            </w:pPr>
            <w:r>
              <w:t>NAESB Board Meeting, Houston</w:t>
            </w:r>
          </w:p>
        </w:tc>
        <w:tc>
          <w:tcPr>
            <w:tcW w:w="3844" w:type="dxa"/>
          </w:tcPr>
          <w:p>
            <w:pPr>
              <w:tabs>
                <w:tab w:val="left" w:pos="2520"/>
                <w:tab w:val="left" w:pos="2970"/>
              </w:tabs>
              <w:autoSpaceDE w:val="0"/>
              <w:autoSpaceDN w:val="0"/>
              <w:adjustRightInd w:val="0"/>
              <w:spacing w:before="120" w:after="40"/>
            </w:pPr>
            <w:r>
              <w:t>Review of Progress of Committee with Possible Board Vote to Approve Recommendations</w:t>
            </w:r>
          </w:p>
        </w:tc>
      </w:tr>
      <w:tr>
        <w:tc>
          <w:tcPr>
            <w:tcW w:w="2988" w:type="dxa"/>
          </w:tcPr>
          <w:p>
            <w:pPr>
              <w:autoSpaceDE w:val="0"/>
              <w:autoSpaceDN w:val="0"/>
              <w:adjustRightInd w:val="0"/>
              <w:spacing w:before="120" w:after="40"/>
            </w:pPr>
            <w:r>
              <w:t>September 20, 9:00 am to 1:00 pm</w:t>
            </w:r>
          </w:p>
        </w:tc>
        <w:tc>
          <w:tcPr>
            <w:tcW w:w="3420" w:type="dxa"/>
          </w:tcPr>
          <w:p>
            <w:pPr>
              <w:autoSpaceDE w:val="0"/>
              <w:autoSpaceDN w:val="0"/>
              <w:adjustRightInd w:val="0"/>
              <w:spacing w:before="120" w:after="40"/>
            </w:pPr>
            <w:r>
              <w:t>NAESB Board Meeting, Houston</w:t>
            </w:r>
          </w:p>
        </w:tc>
        <w:tc>
          <w:tcPr>
            <w:tcW w:w="3844" w:type="dxa"/>
          </w:tcPr>
          <w:p>
            <w:pPr>
              <w:tabs>
                <w:tab w:val="left" w:pos="2520"/>
                <w:tab w:val="left" w:pos="2970"/>
              </w:tabs>
              <w:autoSpaceDE w:val="0"/>
              <w:autoSpaceDN w:val="0"/>
              <w:adjustRightInd w:val="0"/>
              <w:spacing w:before="120" w:after="40"/>
            </w:pPr>
            <w:r>
              <w:t>Review of Progress of Committee with Possible Board Vote to Approve Recommendations</w:t>
            </w:r>
          </w:p>
        </w:tc>
      </w:tr>
      <w:tr>
        <w:tc>
          <w:tcPr>
            <w:tcW w:w="2988" w:type="dxa"/>
          </w:tcPr>
          <w:p>
            <w:pPr>
              <w:autoSpaceDE w:val="0"/>
              <w:autoSpaceDN w:val="0"/>
              <w:adjustRightInd w:val="0"/>
              <w:spacing w:before="120" w:after="40"/>
            </w:pPr>
          </w:p>
        </w:tc>
        <w:tc>
          <w:tcPr>
            <w:tcW w:w="3420" w:type="dxa"/>
          </w:tcPr>
          <w:p>
            <w:pPr>
              <w:autoSpaceDE w:val="0"/>
              <w:autoSpaceDN w:val="0"/>
              <w:adjustRightInd w:val="0"/>
              <w:spacing w:before="120" w:after="40"/>
            </w:pPr>
          </w:p>
        </w:tc>
        <w:tc>
          <w:tcPr>
            <w:tcW w:w="3844" w:type="dxa"/>
          </w:tcPr>
          <w:p>
            <w:pPr>
              <w:tabs>
                <w:tab w:val="left" w:pos="2520"/>
                <w:tab w:val="left" w:pos="2970"/>
              </w:tabs>
              <w:autoSpaceDE w:val="0"/>
              <w:autoSpaceDN w:val="0"/>
              <w:adjustRightInd w:val="0"/>
              <w:spacing w:before="120" w:after="40"/>
            </w:pPr>
          </w:p>
        </w:tc>
      </w:tr>
      <w:tr>
        <w:tc>
          <w:tcPr>
            <w:tcW w:w="2988" w:type="dxa"/>
          </w:tcPr>
          <w:p>
            <w:pPr>
              <w:autoSpaceDE w:val="0"/>
              <w:autoSpaceDN w:val="0"/>
              <w:adjustRightInd w:val="0"/>
              <w:spacing w:before="120" w:after="40"/>
            </w:pPr>
          </w:p>
        </w:tc>
        <w:tc>
          <w:tcPr>
            <w:tcW w:w="3420" w:type="dxa"/>
          </w:tcPr>
          <w:p>
            <w:pPr>
              <w:autoSpaceDE w:val="0"/>
              <w:autoSpaceDN w:val="0"/>
              <w:adjustRightInd w:val="0"/>
              <w:spacing w:before="120" w:after="40"/>
            </w:pPr>
          </w:p>
        </w:tc>
        <w:tc>
          <w:tcPr>
            <w:tcW w:w="3844" w:type="dxa"/>
          </w:tcPr>
          <w:p>
            <w:pPr>
              <w:tabs>
                <w:tab w:val="left" w:pos="2520"/>
                <w:tab w:val="left" w:pos="2970"/>
              </w:tabs>
              <w:autoSpaceDE w:val="0"/>
              <w:autoSpaceDN w:val="0"/>
              <w:adjustRightInd w:val="0"/>
              <w:spacing w:before="120" w:after="40"/>
            </w:pPr>
          </w:p>
        </w:tc>
      </w:tr>
      <w:tr>
        <w:tc>
          <w:tcPr>
            <w:tcW w:w="2988" w:type="dxa"/>
          </w:tcPr>
          <w:p>
            <w:pPr>
              <w:autoSpaceDE w:val="0"/>
              <w:autoSpaceDN w:val="0"/>
              <w:adjustRightInd w:val="0"/>
              <w:spacing w:before="120" w:after="40"/>
            </w:pPr>
          </w:p>
        </w:tc>
        <w:tc>
          <w:tcPr>
            <w:tcW w:w="3420" w:type="dxa"/>
          </w:tcPr>
          <w:p>
            <w:pPr>
              <w:autoSpaceDE w:val="0"/>
              <w:autoSpaceDN w:val="0"/>
              <w:adjustRightInd w:val="0"/>
              <w:spacing w:before="120" w:after="40"/>
            </w:pPr>
          </w:p>
        </w:tc>
        <w:tc>
          <w:tcPr>
            <w:tcW w:w="3844" w:type="dxa"/>
          </w:tcPr>
          <w:p>
            <w:pPr>
              <w:tabs>
                <w:tab w:val="left" w:pos="2520"/>
                <w:tab w:val="left" w:pos="2970"/>
              </w:tabs>
              <w:autoSpaceDE w:val="0"/>
              <w:autoSpaceDN w:val="0"/>
              <w:adjustRightInd w:val="0"/>
              <w:spacing w:before="120" w:after="40"/>
            </w:pPr>
          </w:p>
        </w:tc>
      </w:tr>
      <w:tr>
        <w:tc>
          <w:tcPr>
            <w:tcW w:w="2988" w:type="dxa"/>
          </w:tcPr>
          <w:p>
            <w:pPr>
              <w:autoSpaceDE w:val="0"/>
              <w:autoSpaceDN w:val="0"/>
              <w:adjustRightInd w:val="0"/>
              <w:spacing w:before="120" w:after="40"/>
            </w:pPr>
          </w:p>
        </w:tc>
        <w:tc>
          <w:tcPr>
            <w:tcW w:w="3420" w:type="dxa"/>
          </w:tcPr>
          <w:p>
            <w:pPr>
              <w:autoSpaceDE w:val="0"/>
              <w:autoSpaceDN w:val="0"/>
              <w:adjustRightInd w:val="0"/>
              <w:spacing w:before="120" w:after="40"/>
            </w:pPr>
          </w:p>
        </w:tc>
        <w:tc>
          <w:tcPr>
            <w:tcW w:w="3844" w:type="dxa"/>
          </w:tcPr>
          <w:p>
            <w:pPr>
              <w:tabs>
                <w:tab w:val="left" w:pos="2520"/>
                <w:tab w:val="left" w:pos="2970"/>
              </w:tabs>
              <w:autoSpaceDE w:val="0"/>
              <w:autoSpaceDN w:val="0"/>
              <w:adjustRightInd w:val="0"/>
              <w:spacing w:before="120" w:after="40"/>
            </w:pPr>
          </w:p>
        </w:tc>
      </w:tr>
      <w:tr>
        <w:tc>
          <w:tcPr>
            <w:tcW w:w="2988" w:type="dxa"/>
          </w:tcPr>
          <w:p>
            <w:pPr>
              <w:autoSpaceDE w:val="0"/>
              <w:autoSpaceDN w:val="0"/>
              <w:adjustRightInd w:val="0"/>
              <w:spacing w:before="120" w:after="40"/>
            </w:pPr>
          </w:p>
        </w:tc>
        <w:tc>
          <w:tcPr>
            <w:tcW w:w="3420" w:type="dxa"/>
          </w:tcPr>
          <w:p>
            <w:pPr>
              <w:autoSpaceDE w:val="0"/>
              <w:autoSpaceDN w:val="0"/>
              <w:adjustRightInd w:val="0"/>
              <w:spacing w:before="120" w:after="40"/>
            </w:pPr>
          </w:p>
        </w:tc>
        <w:tc>
          <w:tcPr>
            <w:tcW w:w="3844" w:type="dxa"/>
          </w:tcPr>
          <w:p>
            <w:pPr>
              <w:tabs>
                <w:tab w:val="left" w:pos="2520"/>
                <w:tab w:val="left" w:pos="2970"/>
              </w:tabs>
              <w:autoSpaceDE w:val="0"/>
              <w:autoSpaceDN w:val="0"/>
              <w:adjustRightInd w:val="0"/>
              <w:spacing w:before="120" w:after="40"/>
            </w:pPr>
          </w:p>
        </w:tc>
      </w:tr>
      <w:tr>
        <w:tc>
          <w:tcPr>
            <w:tcW w:w="2988" w:type="dxa"/>
          </w:tcPr>
          <w:p>
            <w:pPr>
              <w:autoSpaceDE w:val="0"/>
              <w:autoSpaceDN w:val="0"/>
              <w:adjustRightInd w:val="0"/>
              <w:spacing w:before="120" w:after="40"/>
            </w:pPr>
          </w:p>
        </w:tc>
        <w:tc>
          <w:tcPr>
            <w:tcW w:w="3420" w:type="dxa"/>
          </w:tcPr>
          <w:p>
            <w:pPr>
              <w:autoSpaceDE w:val="0"/>
              <w:autoSpaceDN w:val="0"/>
              <w:adjustRightInd w:val="0"/>
              <w:spacing w:before="120" w:after="40"/>
            </w:pPr>
          </w:p>
        </w:tc>
        <w:tc>
          <w:tcPr>
            <w:tcW w:w="3844" w:type="dxa"/>
          </w:tcPr>
          <w:p>
            <w:pPr>
              <w:tabs>
                <w:tab w:val="left" w:pos="2520"/>
                <w:tab w:val="left" w:pos="2970"/>
              </w:tabs>
              <w:autoSpaceDE w:val="0"/>
              <w:autoSpaceDN w:val="0"/>
              <w:adjustRightInd w:val="0"/>
              <w:spacing w:before="120" w:after="40"/>
            </w:pPr>
          </w:p>
        </w:tc>
      </w:tr>
      <w:tr>
        <w:tc>
          <w:tcPr>
            <w:tcW w:w="2988" w:type="dxa"/>
          </w:tcPr>
          <w:p>
            <w:pPr>
              <w:autoSpaceDE w:val="0"/>
              <w:autoSpaceDN w:val="0"/>
              <w:adjustRightInd w:val="0"/>
              <w:spacing w:before="120" w:after="40"/>
            </w:pPr>
          </w:p>
        </w:tc>
        <w:tc>
          <w:tcPr>
            <w:tcW w:w="3420" w:type="dxa"/>
          </w:tcPr>
          <w:p>
            <w:pPr>
              <w:autoSpaceDE w:val="0"/>
              <w:autoSpaceDN w:val="0"/>
              <w:adjustRightInd w:val="0"/>
              <w:spacing w:before="120" w:after="40"/>
            </w:pPr>
          </w:p>
        </w:tc>
        <w:tc>
          <w:tcPr>
            <w:tcW w:w="3844" w:type="dxa"/>
          </w:tcPr>
          <w:p>
            <w:pPr>
              <w:tabs>
                <w:tab w:val="left" w:pos="2520"/>
                <w:tab w:val="left" w:pos="2970"/>
              </w:tabs>
              <w:autoSpaceDE w:val="0"/>
              <w:autoSpaceDN w:val="0"/>
              <w:adjustRightInd w:val="0"/>
              <w:spacing w:before="120" w:after="40"/>
            </w:pPr>
          </w:p>
        </w:tc>
      </w:tr>
      <w:tr>
        <w:tc>
          <w:tcPr>
            <w:tcW w:w="2988" w:type="dxa"/>
            <w:tcBorders>
              <w:bottom w:val="single" w:sz="4" w:space="0" w:color="auto"/>
            </w:tcBorders>
          </w:tcPr>
          <w:p>
            <w:pPr>
              <w:autoSpaceDE w:val="0"/>
              <w:autoSpaceDN w:val="0"/>
              <w:adjustRightInd w:val="0"/>
              <w:spacing w:before="120" w:after="40"/>
            </w:pPr>
          </w:p>
        </w:tc>
        <w:tc>
          <w:tcPr>
            <w:tcW w:w="3420" w:type="dxa"/>
            <w:tcBorders>
              <w:bottom w:val="single" w:sz="4" w:space="0" w:color="auto"/>
            </w:tcBorders>
          </w:tcPr>
          <w:p>
            <w:pPr>
              <w:autoSpaceDE w:val="0"/>
              <w:autoSpaceDN w:val="0"/>
              <w:adjustRightInd w:val="0"/>
              <w:spacing w:before="120" w:after="40"/>
            </w:pPr>
          </w:p>
        </w:tc>
        <w:tc>
          <w:tcPr>
            <w:tcW w:w="3844" w:type="dxa"/>
            <w:tcBorders>
              <w:bottom w:val="single" w:sz="4" w:space="0" w:color="auto"/>
            </w:tcBorders>
          </w:tcPr>
          <w:p>
            <w:pPr>
              <w:pStyle w:val="BodyText"/>
              <w:spacing w:before="120" w:after="40"/>
              <w:rPr>
                <w:sz w:val="20"/>
              </w:rPr>
            </w:pPr>
          </w:p>
        </w:tc>
      </w:tr>
    </w:tbl>
    <w:p>
      <w:r>
        <w:br w:type="page"/>
      </w:r>
    </w:p>
    <w:tbl>
      <w:tblPr>
        <w:tblW w:w="0" w:type="auto"/>
        <w:tblLayout w:type="fixed"/>
        <w:tblLook w:val="01E0" w:firstRow="1" w:lastRow="1" w:firstColumn="1" w:lastColumn="1" w:noHBand="0" w:noVBand="0"/>
      </w:tblPr>
      <w:tblGrid>
        <w:gridCol w:w="468"/>
        <w:gridCol w:w="4950"/>
        <w:gridCol w:w="4605"/>
      </w:tblGrid>
      <w:tr>
        <w:trPr>
          <w:tblHeader/>
        </w:trPr>
        <w:tc>
          <w:tcPr>
            <w:tcW w:w="10023" w:type="dxa"/>
            <w:gridSpan w:val="3"/>
            <w:tcBorders>
              <w:bottom w:val="single" w:sz="4" w:space="0" w:color="auto"/>
            </w:tcBorders>
          </w:tcPr>
          <w:p>
            <w:pPr>
              <w:pStyle w:val="Title"/>
              <w:spacing w:before="120" w:after="120"/>
              <w:rPr>
                <w:rFonts w:ascii="Times New Roman" w:hAnsi="Times New Roman"/>
                <w:sz w:val="20"/>
              </w:rPr>
            </w:pPr>
            <w:r>
              <w:rPr>
                <w:rFonts w:ascii="Times New Roman" w:hAnsi="Times New Roman"/>
                <w:sz w:val="20"/>
              </w:rPr>
              <w:t xml:space="preserve">NAESB Gas-Electric Harmonization Committee – Reference Documents </w:t>
            </w:r>
          </w:p>
        </w:tc>
      </w:tr>
      <w:tr>
        <w:trPr>
          <w:tblHeader/>
        </w:trPr>
        <w:tc>
          <w:tcPr>
            <w:tcW w:w="468" w:type="dxa"/>
            <w:tcBorders>
              <w:top w:val="single" w:sz="4" w:space="0" w:color="auto"/>
              <w:bottom w:val="single" w:sz="4" w:space="0" w:color="auto"/>
            </w:tcBorders>
          </w:tcPr>
          <w:p>
            <w:pPr>
              <w:pStyle w:val="Title"/>
              <w:rPr>
                <w:rFonts w:ascii="Times New Roman" w:hAnsi="Times New Roman"/>
                <w:sz w:val="20"/>
              </w:rPr>
            </w:pPr>
            <w:r>
              <w:rPr>
                <w:rFonts w:ascii="Times New Roman" w:hAnsi="Times New Roman"/>
                <w:sz w:val="20"/>
              </w:rPr>
              <w:t>#</w:t>
            </w:r>
          </w:p>
        </w:tc>
        <w:tc>
          <w:tcPr>
            <w:tcW w:w="4950" w:type="dxa"/>
            <w:tcBorders>
              <w:top w:val="single" w:sz="4" w:space="0" w:color="auto"/>
              <w:bottom w:val="single" w:sz="4" w:space="0" w:color="auto"/>
            </w:tcBorders>
          </w:tcPr>
          <w:p>
            <w:pPr>
              <w:pStyle w:val="Title"/>
              <w:rPr>
                <w:rFonts w:ascii="Times New Roman" w:hAnsi="Times New Roman"/>
                <w:sz w:val="20"/>
              </w:rPr>
            </w:pPr>
            <w:r>
              <w:rPr>
                <w:rFonts w:ascii="Times New Roman" w:hAnsi="Times New Roman"/>
                <w:sz w:val="20"/>
              </w:rPr>
              <w:t>Document</w:t>
            </w:r>
          </w:p>
        </w:tc>
        <w:tc>
          <w:tcPr>
            <w:tcW w:w="4605" w:type="dxa"/>
            <w:tcBorders>
              <w:top w:val="single" w:sz="4" w:space="0" w:color="auto"/>
              <w:bottom w:val="single" w:sz="4" w:space="0" w:color="auto"/>
            </w:tcBorders>
          </w:tcPr>
          <w:p>
            <w:pPr>
              <w:pStyle w:val="Title"/>
              <w:rPr>
                <w:rFonts w:ascii="Times New Roman" w:hAnsi="Times New Roman"/>
                <w:sz w:val="20"/>
              </w:rPr>
            </w:pPr>
            <w:r>
              <w:rPr>
                <w:rFonts w:ascii="Times New Roman" w:hAnsi="Times New Roman"/>
                <w:sz w:val="20"/>
              </w:rPr>
              <w:t>Link</w:t>
            </w:r>
          </w:p>
        </w:tc>
      </w:tr>
      <w:tr>
        <w:tc>
          <w:tcPr>
            <w:tcW w:w="468" w:type="dxa"/>
            <w:tcBorders>
              <w:top w:val="single" w:sz="4" w:space="0" w:color="auto"/>
            </w:tcBorders>
          </w:tcPr>
          <w:p>
            <w:pPr>
              <w:pStyle w:val="Title"/>
              <w:spacing w:before="120" w:after="60"/>
              <w:jc w:val="left"/>
              <w:rPr>
                <w:rFonts w:ascii="Times New Roman" w:hAnsi="Times New Roman"/>
                <w:b w:val="0"/>
                <w:sz w:val="20"/>
              </w:rPr>
            </w:pPr>
            <w:r>
              <w:rPr>
                <w:rFonts w:ascii="Times New Roman" w:hAnsi="Times New Roman"/>
                <w:b w:val="0"/>
                <w:sz w:val="20"/>
              </w:rPr>
              <w:t>1</w:t>
            </w:r>
          </w:p>
        </w:tc>
        <w:tc>
          <w:tcPr>
            <w:tcW w:w="4950" w:type="dxa"/>
            <w:tcBorders>
              <w:top w:val="single" w:sz="4" w:space="0" w:color="auto"/>
            </w:tcBorders>
          </w:tcPr>
          <w:p>
            <w:pPr>
              <w:spacing w:before="120" w:after="60"/>
            </w:pPr>
            <w:r>
              <w:t>MIT Study, The Future of the Electric Grid</w:t>
            </w:r>
          </w:p>
        </w:tc>
        <w:tc>
          <w:tcPr>
            <w:tcW w:w="4605" w:type="dxa"/>
            <w:tcBorders>
              <w:top w:val="single" w:sz="4" w:space="0" w:color="auto"/>
            </w:tcBorders>
          </w:tcPr>
          <w:p>
            <w:pPr>
              <w:spacing w:before="120" w:after="60"/>
              <w:ind w:left="1"/>
            </w:pPr>
            <w:hyperlink r:id="rId19" w:history="1">
              <w:r>
                <w:rPr>
                  <w:rStyle w:val="Hyperlink"/>
                </w:rPr>
                <w:t>http://web.mit.edu/mitei/research/studies/documents/electric-grid-2011/Electric_Grid_Full_Report.pdf</w:t>
              </w:r>
            </w:hyperlink>
            <w:r>
              <w:t xml:space="preserve"> </w:t>
            </w:r>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2</w:t>
            </w:r>
          </w:p>
        </w:tc>
        <w:tc>
          <w:tcPr>
            <w:tcW w:w="4950" w:type="dxa"/>
          </w:tcPr>
          <w:p>
            <w:pPr>
              <w:spacing w:before="120" w:after="60"/>
            </w:pPr>
            <w:r>
              <w:t>MIT Study, The Future of Natural Gas</w:t>
            </w:r>
          </w:p>
        </w:tc>
        <w:tc>
          <w:tcPr>
            <w:tcW w:w="4605" w:type="dxa"/>
          </w:tcPr>
          <w:p>
            <w:pPr>
              <w:spacing w:before="120" w:after="60"/>
              <w:ind w:left="1"/>
            </w:pPr>
            <w:hyperlink r:id="rId20" w:history="1">
              <w:r>
                <w:rPr>
                  <w:rStyle w:val="Hyperlink"/>
                </w:rPr>
                <w:t>http://web.mit.edu/mitei/research/studies/documents/natural-gas-2011/NaturalGas_Report.pdf</w:t>
              </w:r>
            </w:hyperlink>
            <w:r>
              <w:t xml:space="preserve"> </w:t>
            </w:r>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3</w:t>
            </w:r>
          </w:p>
        </w:tc>
        <w:tc>
          <w:tcPr>
            <w:tcW w:w="4950" w:type="dxa"/>
          </w:tcPr>
          <w:p>
            <w:pPr>
              <w:spacing w:before="120" w:after="60"/>
            </w:pPr>
            <w:r>
              <w:t>FERC-NERC Joint Task Force Report on Outages and curtailments During the Southwest Weather Event on February 1-5, 2011</w:t>
            </w:r>
          </w:p>
        </w:tc>
        <w:tc>
          <w:tcPr>
            <w:tcW w:w="4605" w:type="dxa"/>
          </w:tcPr>
          <w:p>
            <w:pPr>
              <w:spacing w:before="120" w:after="60"/>
              <w:ind w:left="1"/>
            </w:pPr>
            <w:hyperlink r:id="rId21" w:history="1">
              <w:r>
                <w:rPr>
                  <w:rStyle w:val="Hyperlink"/>
                </w:rPr>
                <w:t>http://www.ferc.gov/legal/staff-reports/08-16-11-report.pdf</w:t>
              </w:r>
            </w:hyperlink>
            <w:r>
              <w:t xml:space="preserve"> </w:t>
            </w:r>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4</w:t>
            </w:r>
          </w:p>
        </w:tc>
        <w:tc>
          <w:tcPr>
            <w:tcW w:w="4950" w:type="dxa"/>
          </w:tcPr>
          <w:p>
            <w:pPr>
              <w:spacing w:before="120" w:after="60"/>
            </w:pPr>
            <w:r>
              <w:t>North American Natural Gas Midstream Infrastructure Through 2035: A Secure Energy Future Executive Summary Prepared by the INGAA Foundation</w:t>
            </w:r>
          </w:p>
        </w:tc>
        <w:tc>
          <w:tcPr>
            <w:tcW w:w="4605" w:type="dxa"/>
          </w:tcPr>
          <w:p>
            <w:pPr>
              <w:spacing w:before="120" w:after="60"/>
              <w:ind w:left="1"/>
            </w:pPr>
            <w:hyperlink r:id="rId22" w:history="1">
              <w:r>
                <w:rPr>
                  <w:rStyle w:val="Hyperlink"/>
                </w:rPr>
                <w:t>http://www.ingaa.org/File.aspx?id=14911</w:t>
              </w:r>
            </w:hyperlink>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5</w:t>
            </w:r>
          </w:p>
        </w:tc>
        <w:tc>
          <w:tcPr>
            <w:tcW w:w="4950" w:type="dxa"/>
          </w:tcPr>
          <w:p>
            <w:pPr>
              <w:spacing w:before="120" w:after="60"/>
            </w:pPr>
            <w:r>
              <w:t>Implications of Greater Reliance on Natural Gas For Electricity Generation Prepared For the American Public Power Association</w:t>
            </w:r>
          </w:p>
        </w:tc>
        <w:tc>
          <w:tcPr>
            <w:tcW w:w="4605" w:type="dxa"/>
          </w:tcPr>
          <w:p>
            <w:pPr>
              <w:spacing w:before="120" w:after="60"/>
              <w:ind w:left="1"/>
            </w:pPr>
            <w:hyperlink r:id="rId23" w:history="1">
              <w:r>
                <w:rPr>
                  <w:rStyle w:val="Hyperlink"/>
                </w:rPr>
                <w:t>http://www.publicpower.org/files/PDFs/ImplicationsOfGreaterRelianceOnNGforElectricityGeneration.pdf</w:t>
              </w:r>
            </w:hyperlink>
            <w:r>
              <w:t xml:space="preserve"> </w:t>
            </w:r>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6</w:t>
            </w:r>
          </w:p>
        </w:tc>
        <w:tc>
          <w:tcPr>
            <w:tcW w:w="4950" w:type="dxa"/>
          </w:tcPr>
          <w:p>
            <w:pPr>
              <w:spacing w:before="120" w:after="60"/>
            </w:pPr>
            <w:r>
              <w:t>NAESB current Gas Nomination Standards and Gas-electric Coordination Standards</w:t>
            </w:r>
          </w:p>
        </w:tc>
        <w:tc>
          <w:tcPr>
            <w:tcW w:w="4605" w:type="dxa"/>
          </w:tcPr>
          <w:p>
            <w:pPr>
              <w:spacing w:before="120" w:after="60"/>
              <w:ind w:left="1"/>
            </w:pPr>
            <w:hyperlink r:id="rId24" w:history="1">
              <w:r>
                <w:rPr>
                  <w:rStyle w:val="Hyperlink"/>
                </w:rPr>
                <w:t>http://www.naesb.org/misc/geh_related_standards.docx</w:t>
              </w:r>
            </w:hyperlink>
            <w:r>
              <w:rPr>
                <w:color w:val="000000"/>
              </w:rPr>
              <w:t xml:space="preserve"> </w:t>
            </w:r>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7</w:t>
            </w:r>
          </w:p>
        </w:tc>
        <w:tc>
          <w:tcPr>
            <w:tcW w:w="4950" w:type="dxa"/>
          </w:tcPr>
          <w:p>
            <w:pPr>
              <w:spacing w:before="120" w:after="60"/>
              <w:rPr>
                <w:color w:val="1F497D"/>
              </w:rPr>
            </w:pPr>
            <w:r>
              <w:t>Electricity Advisory Committee Interdependence of Electricity System Infrastructure and Natural Gas Infrastructure</w:t>
            </w:r>
          </w:p>
        </w:tc>
        <w:tc>
          <w:tcPr>
            <w:tcW w:w="4605" w:type="dxa"/>
          </w:tcPr>
          <w:p>
            <w:pPr>
              <w:spacing w:before="120" w:after="60"/>
              <w:ind w:left="1"/>
              <w:rPr>
                <w:color w:val="1F497D"/>
              </w:rPr>
            </w:pPr>
            <w:hyperlink r:id="rId25" w:history="1">
              <w:r>
                <w:rPr>
                  <w:rStyle w:val="Hyperlink"/>
                </w:rPr>
                <w:t>http://www.naesb.org/misc/electric_infrastructure_gas_infrastructure_oct2011.pdf</w:t>
              </w:r>
            </w:hyperlink>
            <w:r>
              <w:rPr>
                <w:color w:val="1F497D"/>
              </w:rPr>
              <w:t xml:space="preserve"> </w:t>
            </w:r>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8</w:t>
            </w:r>
          </w:p>
        </w:tc>
        <w:tc>
          <w:tcPr>
            <w:tcW w:w="4950" w:type="dxa"/>
          </w:tcPr>
          <w:p>
            <w:pPr>
              <w:spacing w:before="120" w:after="60"/>
            </w:pPr>
            <w:r>
              <w:t xml:space="preserve">NERC 2011 Special Reliability Assessment:  A Primer of the Natural Gas and Electric Power Interdependency in the United States </w:t>
            </w:r>
            <w:r>
              <w:rPr>
                <w:i/>
              </w:rPr>
              <w:t>– DUPLICATE OF ITEM 13</w:t>
            </w:r>
          </w:p>
        </w:tc>
        <w:tc>
          <w:tcPr>
            <w:tcW w:w="4605" w:type="dxa"/>
          </w:tcPr>
          <w:p>
            <w:pPr>
              <w:spacing w:before="120" w:after="60"/>
              <w:ind w:left="1"/>
            </w:pPr>
            <w:hyperlink r:id="rId26" w:history="1">
              <w:r>
                <w:rPr>
                  <w:rStyle w:val="Hyperlink"/>
                </w:rPr>
                <w:t>http://www.naesb.org/misc/nerc_primer_gas_electric_interdependency_nov2011.pdf</w:t>
              </w:r>
            </w:hyperlink>
            <w:r>
              <w:rPr>
                <w:color w:val="1F497D"/>
              </w:rPr>
              <w:t xml:space="preserve"> </w:t>
            </w:r>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9</w:t>
            </w:r>
          </w:p>
        </w:tc>
        <w:tc>
          <w:tcPr>
            <w:tcW w:w="4950" w:type="dxa"/>
          </w:tcPr>
          <w:p>
            <w:pPr>
              <w:spacing w:before="120" w:after="60"/>
            </w:pPr>
            <w:r>
              <w:t>NERC Gas/Electricity Interdependencies and Recommendations, 2004</w:t>
            </w:r>
          </w:p>
        </w:tc>
        <w:tc>
          <w:tcPr>
            <w:tcW w:w="4605" w:type="dxa"/>
          </w:tcPr>
          <w:p>
            <w:pPr>
              <w:spacing w:before="120" w:after="60"/>
              <w:ind w:left="1"/>
            </w:pPr>
            <w:hyperlink r:id="rId27" w:history="1">
              <w:r>
                <w:rPr>
                  <w:rStyle w:val="Hyperlink"/>
                </w:rPr>
                <w:t>http://www.naesb.org/misc/nerc_gas_electricity_interdependencies_2004.pdf</w:t>
              </w:r>
            </w:hyperlink>
            <w:r>
              <w:rPr>
                <w:color w:val="1F497D"/>
              </w:rPr>
              <w:t xml:space="preserve"> </w:t>
            </w:r>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10</w:t>
            </w:r>
          </w:p>
        </w:tc>
        <w:tc>
          <w:tcPr>
            <w:tcW w:w="4950" w:type="dxa"/>
          </w:tcPr>
          <w:p>
            <w:pPr>
              <w:spacing w:before="120" w:after="60"/>
            </w:pPr>
            <w:r>
              <w:t>NPC Prudent Development – Executive Summary (may be replaced by the published version – Ken Yeasting)</w:t>
            </w:r>
          </w:p>
        </w:tc>
        <w:tc>
          <w:tcPr>
            <w:tcW w:w="4605" w:type="dxa"/>
          </w:tcPr>
          <w:p>
            <w:pPr>
              <w:spacing w:before="120" w:after="60"/>
              <w:ind w:left="1"/>
            </w:pPr>
            <w:hyperlink r:id="rId28" w:history="1">
              <w:r>
                <w:rPr>
                  <w:rStyle w:val="Hyperlink"/>
                </w:rPr>
                <w:t>http://www.naesb.org/misc/npc_north_american_resource_dev_exec_summ_volume_dec2011.pdf</w:t>
              </w:r>
            </w:hyperlink>
            <w:r>
              <w:rPr>
                <w:color w:val="1F497D"/>
              </w:rPr>
              <w:t xml:space="preserve"> </w:t>
            </w:r>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11</w:t>
            </w:r>
          </w:p>
        </w:tc>
        <w:tc>
          <w:tcPr>
            <w:tcW w:w="4950" w:type="dxa"/>
          </w:tcPr>
          <w:p>
            <w:pPr>
              <w:spacing w:before="120" w:after="60"/>
            </w:pPr>
            <w:r>
              <w:t>NPC Prudent Development – Ch. 3 – Natural Gas Demand (may be replaced by the published version – Ken Yeasting)</w:t>
            </w:r>
          </w:p>
        </w:tc>
        <w:tc>
          <w:tcPr>
            <w:tcW w:w="4605" w:type="dxa"/>
          </w:tcPr>
          <w:p>
            <w:pPr>
              <w:spacing w:before="120" w:after="60"/>
              <w:ind w:left="1"/>
            </w:pPr>
            <w:hyperlink r:id="rId29" w:history="1">
              <w:r>
                <w:rPr>
                  <w:rStyle w:val="Hyperlink"/>
                </w:rPr>
                <w:t>http://www.naesb.org/misc/npc_demand_chapter_091511.pdf</w:t>
              </w:r>
            </w:hyperlink>
            <w:r>
              <w:rPr>
                <w:color w:val="1F497D"/>
              </w:rPr>
              <w:t xml:space="preserve"> </w:t>
            </w:r>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12</w:t>
            </w:r>
          </w:p>
        </w:tc>
        <w:tc>
          <w:tcPr>
            <w:tcW w:w="4950" w:type="dxa"/>
          </w:tcPr>
          <w:p>
            <w:pPr>
              <w:spacing w:before="120" w:after="60"/>
            </w:pPr>
            <w:r>
              <w:t>Excerpt of NAESB Bylaws</w:t>
            </w:r>
          </w:p>
        </w:tc>
        <w:tc>
          <w:tcPr>
            <w:tcW w:w="4605" w:type="dxa"/>
          </w:tcPr>
          <w:p>
            <w:pPr>
              <w:spacing w:before="120" w:after="60"/>
              <w:ind w:left="1"/>
            </w:pPr>
            <w:hyperlink r:id="rId30" w:history="1">
              <w:r>
                <w:rPr>
                  <w:rStyle w:val="Hyperlink"/>
                </w:rPr>
                <w:t>http://www.naesb.org/misc/naesb_bylaws_section2.2_best_practices.pptx</w:t>
              </w:r>
            </w:hyperlink>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13</w:t>
            </w:r>
          </w:p>
        </w:tc>
        <w:tc>
          <w:tcPr>
            <w:tcW w:w="4950" w:type="dxa"/>
          </w:tcPr>
          <w:p>
            <w:pPr>
              <w:pStyle w:val="Title"/>
              <w:spacing w:before="120" w:after="60"/>
              <w:jc w:val="left"/>
              <w:rPr>
                <w:rFonts w:ascii="Times New Roman" w:hAnsi="Times New Roman"/>
                <w:b w:val="0"/>
                <w:sz w:val="20"/>
              </w:rPr>
            </w:pPr>
            <w:r>
              <w:rPr>
                <w:rFonts w:ascii="Times New Roman" w:hAnsi="Times New Roman"/>
                <w:b w:val="0"/>
                <w:sz w:val="20"/>
              </w:rPr>
              <w:t>NERC December 2011 Special Assessment</w:t>
            </w:r>
          </w:p>
        </w:tc>
        <w:tc>
          <w:tcPr>
            <w:tcW w:w="4605" w:type="dxa"/>
          </w:tcPr>
          <w:p>
            <w:pPr>
              <w:spacing w:before="120" w:after="60"/>
              <w:ind w:left="1"/>
              <w:rPr>
                <w:b/>
              </w:rPr>
            </w:pPr>
            <w:hyperlink r:id="rId31" w:history="1">
              <w:r>
                <w:rPr>
                  <w:rStyle w:val="Hyperlink"/>
                </w:rPr>
                <w:t>http://www.nerc.com/files/Gas_Electric_Interdependencies_Phase_I.pdf</w:t>
              </w:r>
            </w:hyperlink>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14</w:t>
            </w:r>
          </w:p>
        </w:tc>
        <w:tc>
          <w:tcPr>
            <w:tcW w:w="4950" w:type="dxa"/>
          </w:tcPr>
          <w:p>
            <w:pPr>
              <w:pStyle w:val="Title"/>
              <w:spacing w:before="120" w:after="60"/>
              <w:jc w:val="left"/>
              <w:rPr>
                <w:rFonts w:ascii="Times New Roman" w:hAnsi="Times New Roman"/>
                <w:b w:val="0"/>
                <w:sz w:val="20"/>
              </w:rPr>
            </w:pPr>
            <w:r>
              <w:rPr>
                <w:rFonts w:ascii="Times New Roman" w:hAnsi="Times New Roman"/>
                <w:b w:val="0"/>
                <w:sz w:val="20"/>
              </w:rPr>
              <w:t>Natural Gas in a Smart Energy Future – American Gas Foundation, APGA Research Foundation, Canadian Gas Foundation, INGAA Foundation, Natural Gas Supply Foundation and their members</w:t>
            </w:r>
          </w:p>
        </w:tc>
        <w:tc>
          <w:tcPr>
            <w:tcW w:w="4605" w:type="dxa"/>
          </w:tcPr>
          <w:p>
            <w:pPr>
              <w:pStyle w:val="Title"/>
              <w:spacing w:before="120" w:after="60"/>
              <w:jc w:val="left"/>
              <w:rPr>
                <w:rFonts w:ascii="Times New Roman" w:hAnsi="Times New Roman"/>
                <w:b w:val="0"/>
                <w:sz w:val="20"/>
              </w:rPr>
            </w:pPr>
            <w:hyperlink r:id="rId32" w:history="1">
              <w:r>
                <w:rPr>
                  <w:rStyle w:val="Hyperlink"/>
                  <w:rFonts w:ascii="Times New Roman" w:hAnsi="Times New Roman"/>
                  <w:b w:val="0"/>
                  <w:sz w:val="20"/>
                </w:rPr>
                <w:t>http://media.godashboard.com/gti/Natural_Gas_in_a_Smart_Energy_Future_01-26-2011.pdf</w:t>
              </w:r>
            </w:hyperlink>
          </w:p>
        </w:tc>
      </w:tr>
      <w:tr>
        <w:tc>
          <w:tcPr>
            <w:tcW w:w="468" w:type="dxa"/>
          </w:tcPr>
          <w:p>
            <w:pPr>
              <w:pStyle w:val="Title"/>
              <w:keepNext/>
              <w:spacing w:before="120" w:after="60"/>
              <w:jc w:val="left"/>
              <w:rPr>
                <w:rFonts w:ascii="Times New Roman" w:hAnsi="Times New Roman"/>
                <w:b w:val="0"/>
                <w:sz w:val="20"/>
              </w:rPr>
            </w:pPr>
            <w:r>
              <w:rPr>
                <w:rFonts w:ascii="Times New Roman" w:hAnsi="Times New Roman"/>
                <w:b w:val="0"/>
                <w:sz w:val="20"/>
              </w:rPr>
              <w:lastRenderedPageBreak/>
              <w:t>15</w:t>
            </w:r>
          </w:p>
        </w:tc>
        <w:tc>
          <w:tcPr>
            <w:tcW w:w="4950" w:type="dxa"/>
          </w:tcPr>
          <w:p>
            <w:pPr>
              <w:pStyle w:val="Title"/>
              <w:spacing w:before="120" w:after="60"/>
              <w:jc w:val="left"/>
              <w:rPr>
                <w:rFonts w:ascii="Times New Roman" w:hAnsi="Times New Roman"/>
                <w:b w:val="0"/>
                <w:sz w:val="20"/>
              </w:rPr>
            </w:pPr>
            <w:r>
              <w:rPr>
                <w:rFonts w:ascii="Times New Roman" w:hAnsi="Times New Roman"/>
                <w:b w:val="0"/>
                <w:sz w:val="20"/>
              </w:rPr>
              <w:t>Summary of the North American Energy Standards Board Gas and Electric Interdependency Final Report to the Federal Energy Regulatory Commission in Docket No. RM05-28-000 “NAESB Report on the Efforts of the Gas-Electric Interdependency Committee” – U.S. DoE and NARUC</w:t>
            </w:r>
          </w:p>
        </w:tc>
        <w:tc>
          <w:tcPr>
            <w:tcW w:w="4605" w:type="dxa"/>
          </w:tcPr>
          <w:p>
            <w:pPr>
              <w:pStyle w:val="Title"/>
              <w:spacing w:before="120" w:after="60"/>
              <w:jc w:val="left"/>
              <w:rPr>
                <w:rFonts w:ascii="Times New Roman" w:hAnsi="Times New Roman"/>
                <w:b w:val="0"/>
                <w:sz w:val="20"/>
              </w:rPr>
            </w:pPr>
            <w:hyperlink r:id="rId33" w:history="1">
              <w:r>
                <w:rPr>
                  <w:rStyle w:val="Hyperlink"/>
                  <w:rFonts w:ascii="Times New Roman" w:hAnsi="Times New Roman"/>
                  <w:b w:val="0"/>
                  <w:sz w:val="20"/>
                </w:rPr>
                <w:t>http://www.naesb.org/misc/icf_geic_primer062206.pdf</w:t>
              </w:r>
            </w:hyperlink>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16</w:t>
            </w:r>
          </w:p>
        </w:tc>
        <w:tc>
          <w:tcPr>
            <w:tcW w:w="4950" w:type="dxa"/>
          </w:tcPr>
          <w:p>
            <w:pPr>
              <w:pStyle w:val="Title"/>
              <w:spacing w:before="120" w:after="60"/>
              <w:jc w:val="left"/>
              <w:rPr>
                <w:rFonts w:ascii="Times New Roman" w:hAnsi="Times New Roman"/>
                <w:b w:val="0"/>
                <w:sz w:val="20"/>
              </w:rPr>
            </w:pPr>
            <w:r>
              <w:rPr>
                <w:rFonts w:ascii="Times New Roman" w:hAnsi="Times New Roman"/>
                <w:b w:val="0"/>
                <w:sz w:val="20"/>
              </w:rPr>
              <w:t>Nuclear Plant Interface Coordination – Standard NUC-001-2, NERC, April 2010</w:t>
            </w:r>
          </w:p>
        </w:tc>
        <w:tc>
          <w:tcPr>
            <w:tcW w:w="4605" w:type="dxa"/>
          </w:tcPr>
          <w:p>
            <w:pPr>
              <w:pStyle w:val="Title"/>
              <w:spacing w:before="120" w:after="60"/>
              <w:jc w:val="left"/>
              <w:rPr>
                <w:rFonts w:ascii="Times New Roman" w:hAnsi="Times New Roman"/>
                <w:b w:val="0"/>
                <w:sz w:val="20"/>
              </w:rPr>
            </w:pPr>
            <w:hyperlink r:id="rId34" w:history="1">
              <w:r>
                <w:rPr>
                  <w:rStyle w:val="Hyperlink"/>
                  <w:rFonts w:ascii="Times New Roman" w:hAnsi="Times New Roman"/>
                  <w:b w:val="0"/>
                  <w:sz w:val="20"/>
                </w:rPr>
                <w:t>http://www.nerc.com/files/NUC-001-2.pdf</w:t>
              </w:r>
            </w:hyperlink>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17</w:t>
            </w:r>
          </w:p>
        </w:tc>
        <w:tc>
          <w:tcPr>
            <w:tcW w:w="4950" w:type="dxa"/>
          </w:tcPr>
          <w:p>
            <w:pPr>
              <w:pStyle w:val="Title"/>
              <w:spacing w:before="120" w:after="60"/>
              <w:jc w:val="left"/>
              <w:rPr>
                <w:rFonts w:ascii="Times New Roman" w:hAnsi="Times New Roman"/>
                <w:b w:val="0"/>
                <w:sz w:val="20"/>
              </w:rPr>
            </w:pPr>
            <w:r>
              <w:rPr>
                <w:rFonts w:ascii="Times New Roman" w:hAnsi="Times New Roman"/>
                <w:b w:val="0"/>
                <w:sz w:val="20"/>
              </w:rPr>
              <w:t>Natural Gas year in Review – EIA, December 9, 2011</w:t>
            </w:r>
          </w:p>
        </w:tc>
        <w:tc>
          <w:tcPr>
            <w:tcW w:w="4605" w:type="dxa"/>
          </w:tcPr>
          <w:p>
            <w:pPr>
              <w:pStyle w:val="Title"/>
              <w:spacing w:before="120" w:after="60"/>
              <w:jc w:val="left"/>
              <w:rPr>
                <w:rFonts w:ascii="Times New Roman" w:hAnsi="Times New Roman"/>
                <w:b w:val="0"/>
                <w:sz w:val="20"/>
              </w:rPr>
            </w:pPr>
            <w:hyperlink r:id="rId35" w:history="1">
              <w:r>
                <w:rPr>
                  <w:rStyle w:val="Hyperlink"/>
                  <w:rFonts w:ascii="Times New Roman" w:hAnsi="Times New Roman"/>
                  <w:b w:val="0"/>
                  <w:sz w:val="20"/>
                </w:rPr>
                <w:t>http://205.254.135.7/naturalgas/review/</w:t>
              </w:r>
            </w:hyperlink>
            <w:r>
              <w:rPr>
                <w:rFonts w:ascii="Times New Roman" w:hAnsi="Times New Roman"/>
                <w:b w:val="0"/>
                <w:sz w:val="20"/>
              </w:rPr>
              <w:t xml:space="preserve">, and </w:t>
            </w:r>
            <w:hyperlink r:id="rId36" w:history="1">
              <w:r>
                <w:rPr>
                  <w:rStyle w:val="Hyperlink"/>
                  <w:rFonts w:ascii="Times New Roman" w:hAnsi="Times New Roman"/>
                  <w:b w:val="0"/>
                  <w:sz w:val="20"/>
                </w:rPr>
                <w:t>http://205.254.135.7/naturalgas/review/print_version.cfm</w:t>
              </w:r>
            </w:hyperlink>
            <w:r>
              <w:rPr>
                <w:rFonts w:ascii="Times New Roman" w:hAnsi="Times New Roman"/>
                <w:b w:val="0"/>
                <w:sz w:val="20"/>
              </w:rPr>
              <w:t xml:space="preserve"> (print version)</w:t>
            </w:r>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18</w:t>
            </w:r>
          </w:p>
        </w:tc>
        <w:tc>
          <w:tcPr>
            <w:tcW w:w="4950" w:type="dxa"/>
          </w:tcPr>
          <w:p>
            <w:pPr>
              <w:pStyle w:val="Title"/>
              <w:spacing w:before="120" w:after="60"/>
              <w:jc w:val="left"/>
              <w:rPr>
                <w:rFonts w:ascii="Times New Roman" w:hAnsi="Times New Roman"/>
                <w:b w:val="0"/>
                <w:sz w:val="20"/>
              </w:rPr>
            </w:pPr>
            <w:r>
              <w:rPr>
                <w:rFonts w:ascii="Times New Roman" w:hAnsi="Times New Roman"/>
                <w:b w:val="0"/>
                <w:sz w:val="20"/>
              </w:rPr>
              <w:t>ERCOT Nodal Protocols</w:t>
            </w:r>
          </w:p>
        </w:tc>
        <w:tc>
          <w:tcPr>
            <w:tcW w:w="4605" w:type="dxa"/>
          </w:tcPr>
          <w:p>
            <w:pPr>
              <w:pStyle w:val="Title"/>
              <w:spacing w:before="120" w:after="60"/>
              <w:jc w:val="left"/>
              <w:rPr>
                <w:rFonts w:ascii="Times New Roman" w:hAnsi="Times New Roman"/>
                <w:b w:val="0"/>
                <w:sz w:val="20"/>
              </w:rPr>
            </w:pPr>
            <w:hyperlink r:id="rId37" w:history="1">
              <w:r>
                <w:rPr>
                  <w:rStyle w:val="Hyperlink"/>
                  <w:rFonts w:ascii="Times New Roman" w:hAnsi="Times New Roman"/>
                  <w:b w:val="0"/>
                  <w:sz w:val="20"/>
                </w:rPr>
                <w:t>http://www2.econ.iastate.edu/tesfatsi/ERCOT.DefinitionsAcronyms.Oct2011.pdf</w:t>
              </w:r>
            </w:hyperlink>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19</w:t>
            </w:r>
          </w:p>
        </w:tc>
        <w:tc>
          <w:tcPr>
            <w:tcW w:w="4950" w:type="dxa"/>
          </w:tcPr>
          <w:p>
            <w:pPr>
              <w:pStyle w:val="Title"/>
              <w:spacing w:before="120" w:after="60"/>
              <w:jc w:val="left"/>
              <w:rPr>
                <w:rFonts w:ascii="Times New Roman" w:hAnsi="Times New Roman"/>
                <w:b w:val="0"/>
                <w:sz w:val="20"/>
              </w:rPr>
            </w:pPr>
            <w:r>
              <w:rPr>
                <w:rFonts w:ascii="Times New Roman" w:hAnsi="Times New Roman"/>
                <w:b w:val="0"/>
                <w:sz w:val="20"/>
              </w:rPr>
              <w:t>Commission Role Regarding Environmental Protection Agency’s Mercury and Air Toxics Standards</w:t>
            </w:r>
          </w:p>
        </w:tc>
        <w:tc>
          <w:tcPr>
            <w:tcW w:w="4605" w:type="dxa"/>
          </w:tcPr>
          <w:p>
            <w:pPr>
              <w:pStyle w:val="Title"/>
              <w:spacing w:before="120" w:after="60"/>
              <w:jc w:val="left"/>
              <w:rPr>
                <w:rFonts w:ascii="Times New Roman" w:hAnsi="Times New Roman"/>
                <w:b w:val="0"/>
                <w:sz w:val="20"/>
              </w:rPr>
            </w:pPr>
            <w:hyperlink r:id="rId38" w:history="1">
              <w:r>
                <w:rPr>
                  <w:rStyle w:val="Hyperlink"/>
                  <w:rFonts w:ascii="Times New Roman" w:hAnsi="Times New Roman"/>
                  <w:b w:val="0"/>
                  <w:sz w:val="20"/>
                </w:rPr>
                <w:t>http://www.ferc.gov/media/news-releases/2012/2012-1/01-30-12-notice.pdf</w:t>
              </w:r>
            </w:hyperlink>
            <w:r>
              <w:rPr>
                <w:rFonts w:ascii="Times New Roman" w:hAnsi="Times New Roman"/>
                <w:b w:val="0"/>
                <w:sz w:val="20"/>
              </w:rPr>
              <w:t xml:space="preserve"> </w:t>
            </w:r>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 xml:space="preserve">20 </w:t>
            </w:r>
          </w:p>
        </w:tc>
        <w:tc>
          <w:tcPr>
            <w:tcW w:w="4950" w:type="dxa"/>
          </w:tcPr>
          <w:p>
            <w:pPr>
              <w:pStyle w:val="Title"/>
              <w:spacing w:before="120" w:after="60"/>
              <w:jc w:val="left"/>
              <w:rPr>
                <w:rFonts w:ascii="Times New Roman" w:hAnsi="Times New Roman"/>
                <w:b w:val="0"/>
                <w:sz w:val="20"/>
              </w:rPr>
            </w:pPr>
            <w:r>
              <w:rPr>
                <w:rFonts w:ascii="Times New Roman" w:hAnsi="Times New Roman"/>
                <w:b w:val="0"/>
                <w:sz w:val="20"/>
              </w:rPr>
              <w:t>How does the natural gas delivery system work – AGA web site</w:t>
            </w:r>
          </w:p>
        </w:tc>
        <w:tc>
          <w:tcPr>
            <w:tcW w:w="4605" w:type="dxa"/>
          </w:tcPr>
          <w:p>
            <w:pPr>
              <w:pStyle w:val="Title"/>
              <w:spacing w:before="120" w:after="60"/>
              <w:jc w:val="left"/>
              <w:rPr>
                <w:rFonts w:ascii="Times New Roman" w:hAnsi="Times New Roman"/>
                <w:b w:val="0"/>
                <w:sz w:val="20"/>
              </w:rPr>
            </w:pPr>
            <w:hyperlink r:id="rId39" w:history="1">
              <w:r>
                <w:rPr>
                  <w:rStyle w:val="Hyperlink"/>
                  <w:rFonts w:ascii="Times New Roman" w:hAnsi="Times New Roman"/>
                  <w:b w:val="0"/>
                  <w:sz w:val="20"/>
                </w:rPr>
                <w:t>http://www.aga.org/Kc/aboutnaturalgas/consumerinfo/Pages/NGDeliverySystem.aspx</w:t>
              </w:r>
            </w:hyperlink>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21</w:t>
            </w:r>
          </w:p>
        </w:tc>
        <w:tc>
          <w:tcPr>
            <w:tcW w:w="4950" w:type="dxa"/>
          </w:tcPr>
          <w:p>
            <w:pPr>
              <w:pStyle w:val="Title"/>
              <w:spacing w:before="120" w:after="60"/>
              <w:jc w:val="left"/>
              <w:rPr>
                <w:rFonts w:ascii="Times New Roman" w:hAnsi="Times New Roman"/>
                <w:b w:val="0"/>
                <w:sz w:val="20"/>
              </w:rPr>
            </w:pPr>
            <w:r>
              <w:rPr>
                <w:rFonts w:ascii="Times New Roman" w:hAnsi="Times New Roman"/>
                <w:b w:val="0"/>
                <w:sz w:val="20"/>
              </w:rPr>
              <w:t>Request for Comments of Commissioner Moeller, on Coordination between the Natural Gas and Electricity Markets, February 3, 2011</w:t>
            </w:r>
          </w:p>
        </w:tc>
        <w:tc>
          <w:tcPr>
            <w:tcW w:w="4605" w:type="dxa"/>
          </w:tcPr>
          <w:p>
            <w:pPr>
              <w:pStyle w:val="Title"/>
              <w:spacing w:before="120" w:after="60"/>
              <w:jc w:val="left"/>
              <w:rPr>
                <w:rFonts w:ascii="Times New Roman" w:hAnsi="Times New Roman"/>
                <w:b w:val="0"/>
                <w:sz w:val="20"/>
              </w:rPr>
            </w:pPr>
            <w:hyperlink r:id="rId40" w:history="1">
              <w:r>
                <w:rPr>
                  <w:rStyle w:val="Hyperlink"/>
                  <w:rFonts w:ascii="Times New Roman" w:hAnsi="Times New Roman"/>
                  <w:b w:val="0"/>
                  <w:sz w:val="20"/>
                </w:rPr>
                <w:t>http://www.ferc.gov/about/com-mem/moeller/moellergaselectricletter.pdf</w:t>
              </w:r>
            </w:hyperlink>
          </w:p>
        </w:tc>
      </w:tr>
      <w:tr>
        <w:tc>
          <w:tcPr>
            <w:tcW w:w="468" w:type="dxa"/>
          </w:tcPr>
          <w:p>
            <w:pPr>
              <w:pStyle w:val="Title"/>
              <w:spacing w:before="120" w:after="60"/>
              <w:jc w:val="left"/>
              <w:rPr>
                <w:rFonts w:ascii="Times New Roman" w:hAnsi="Times New Roman"/>
                <w:b w:val="0"/>
                <w:sz w:val="20"/>
              </w:rPr>
            </w:pPr>
            <w:r>
              <w:rPr>
                <w:rFonts w:ascii="Times New Roman" w:hAnsi="Times New Roman"/>
                <w:b w:val="0"/>
                <w:sz w:val="20"/>
              </w:rPr>
              <w:t>22</w:t>
            </w:r>
          </w:p>
        </w:tc>
        <w:tc>
          <w:tcPr>
            <w:tcW w:w="4950" w:type="dxa"/>
          </w:tcPr>
          <w:p>
            <w:pPr>
              <w:pStyle w:val="Title"/>
              <w:spacing w:before="120" w:after="60"/>
              <w:jc w:val="left"/>
              <w:rPr>
                <w:rFonts w:ascii="Times New Roman" w:hAnsi="Times New Roman"/>
                <w:b w:val="0"/>
                <w:sz w:val="20"/>
              </w:rPr>
            </w:pPr>
            <w:r>
              <w:rPr>
                <w:rFonts w:ascii="Times New Roman" w:hAnsi="Times New Roman"/>
                <w:b w:val="0"/>
                <w:sz w:val="20"/>
              </w:rPr>
              <w:t>Post-Technical Comments of the Interstate Natural Gas Association of America</w:t>
            </w:r>
            <w:bookmarkStart w:id="6" w:name="_GoBack"/>
            <w:bookmarkEnd w:id="6"/>
          </w:p>
        </w:tc>
        <w:tc>
          <w:tcPr>
            <w:tcW w:w="4605" w:type="dxa"/>
          </w:tcPr>
          <w:p>
            <w:pPr>
              <w:pStyle w:val="Title"/>
              <w:spacing w:before="120" w:after="60"/>
              <w:jc w:val="left"/>
              <w:rPr>
                <w:rStyle w:val="Hyperlink"/>
                <w:b w:val="0"/>
              </w:rPr>
            </w:pPr>
            <w:hyperlink r:id="rId41" w:history="1">
              <w:r>
                <w:rPr>
                  <w:rStyle w:val="Hyperlink"/>
                  <w:rFonts w:ascii="Times New Roman" w:hAnsi="Times New Roman"/>
                  <w:b w:val="0"/>
                  <w:sz w:val="20"/>
                </w:rPr>
                <w:t>http://www.naesb.org/misc/ingaa_final_comments_electric_reliability_technical_conference.doc</w:t>
              </w:r>
            </w:hyperlink>
          </w:p>
          <w:p>
            <w:pPr>
              <w:pStyle w:val="Title"/>
              <w:spacing w:before="120" w:after="60"/>
              <w:jc w:val="left"/>
              <w:rPr>
                <w:rStyle w:val="Hyperlink"/>
                <w:rFonts w:ascii="Times New Roman" w:hAnsi="Times New Roman"/>
                <w:b w:val="0"/>
                <w:sz w:val="20"/>
              </w:rPr>
            </w:pPr>
          </w:p>
        </w:tc>
      </w:tr>
    </w:tbl>
    <w:p>
      <w:pPr>
        <w:rPr>
          <w:bCs/>
        </w:rPr>
      </w:pPr>
      <w:r>
        <w:rPr>
          <w:bCs/>
        </w:rPr>
        <w:br w:type="page"/>
      </w:r>
    </w:p>
    <w:tbl>
      <w:tblPr>
        <w:tblW w:w="0" w:type="auto"/>
        <w:tblLook w:val="01E0" w:firstRow="1" w:lastRow="1" w:firstColumn="1" w:lastColumn="1" w:noHBand="0" w:noVBand="0"/>
      </w:tblPr>
      <w:tblGrid>
        <w:gridCol w:w="2988"/>
        <w:gridCol w:w="7020"/>
      </w:tblGrid>
      <w:tr>
        <w:trPr>
          <w:tblHeader/>
        </w:trPr>
        <w:tc>
          <w:tcPr>
            <w:tcW w:w="10008" w:type="dxa"/>
            <w:gridSpan w:val="2"/>
            <w:tcBorders>
              <w:bottom w:val="single" w:sz="4" w:space="0" w:color="auto"/>
            </w:tcBorders>
          </w:tcPr>
          <w:p>
            <w:pPr>
              <w:pStyle w:val="Title"/>
              <w:spacing w:before="120" w:after="120"/>
              <w:rPr>
                <w:rFonts w:ascii="Times New Roman" w:hAnsi="Times New Roman"/>
                <w:smallCaps/>
                <w:sz w:val="20"/>
              </w:rPr>
            </w:pPr>
            <w:r>
              <w:rPr>
                <w:rFonts w:ascii="Times New Roman" w:hAnsi="Times New Roman"/>
                <w:smallCaps/>
                <w:sz w:val="20"/>
              </w:rPr>
              <w:t xml:space="preserve">NAESB Gas-Electric Harmonization Committee Named Members </w:t>
            </w:r>
          </w:p>
        </w:tc>
      </w:tr>
      <w:tr>
        <w:trPr>
          <w:tblHeader/>
        </w:trPr>
        <w:tc>
          <w:tcPr>
            <w:tcW w:w="2988" w:type="dxa"/>
            <w:tcBorders>
              <w:top w:val="single" w:sz="4" w:space="0" w:color="auto"/>
              <w:bottom w:val="single" w:sz="4" w:space="0" w:color="auto"/>
            </w:tcBorders>
          </w:tcPr>
          <w:p>
            <w:pPr>
              <w:pStyle w:val="Title"/>
              <w:rPr>
                <w:rFonts w:ascii="Times New Roman" w:hAnsi="Times New Roman"/>
                <w:sz w:val="20"/>
              </w:rPr>
            </w:pPr>
            <w:r>
              <w:rPr>
                <w:rFonts w:ascii="Times New Roman" w:hAnsi="Times New Roman"/>
                <w:sz w:val="20"/>
              </w:rPr>
              <w:t>Member</w:t>
            </w:r>
          </w:p>
        </w:tc>
        <w:tc>
          <w:tcPr>
            <w:tcW w:w="7020" w:type="dxa"/>
            <w:tcBorders>
              <w:top w:val="single" w:sz="4" w:space="0" w:color="auto"/>
              <w:bottom w:val="single" w:sz="4" w:space="0" w:color="auto"/>
            </w:tcBorders>
          </w:tcPr>
          <w:p>
            <w:pPr>
              <w:pStyle w:val="Title"/>
              <w:rPr>
                <w:rFonts w:ascii="Times New Roman" w:hAnsi="Times New Roman"/>
                <w:sz w:val="20"/>
              </w:rPr>
            </w:pPr>
            <w:r>
              <w:rPr>
                <w:rFonts w:ascii="Times New Roman" w:hAnsi="Times New Roman"/>
                <w:sz w:val="20"/>
              </w:rPr>
              <w:t>Company/Organization</w:t>
            </w:r>
          </w:p>
        </w:tc>
      </w:tr>
      <w:tr>
        <w:tc>
          <w:tcPr>
            <w:tcW w:w="2988" w:type="dxa"/>
            <w:tcBorders>
              <w:top w:val="single" w:sz="4" w:space="0" w:color="auto"/>
            </w:tcBorders>
          </w:tcPr>
          <w:p>
            <w:pPr>
              <w:pStyle w:val="Title"/>
              <w:jc w:val="left"/>
              <w:rPr>
                <w:rFonts w:ascii="Times New Roman" w:hAnsi="Times New Roman"/>
                <w:b w:val="0"/>
                <w:sz w:val="20"/>
              </w:rPr>
            </w:pPr>
            <w:r>
              <w:rPr>
                <w:rFonts w:ascii="Times New Roman" w:hAnsi="Times New Roman"/>
                <w:b w:val="0"/>
                <w:sz w:val="20"/>
              </w:rPr>
              <w:t>Catherine Abercrombie</w:t>
            </w:r>
          </w:p>
        </w:tc>
        <w:tc>
          <w:tcPr>
            <w:tcW w:w="7020" w:type="dxa"/>
            <w:tcBorders>
              <w:top w:val="single" w:sz="4" w:space="0" w:color="auto"/>
            </w:tcBorders>
          </w:tcPr>
          <w:p>
            <w:pPr>
              <w:pStyle w:val="Title"/>
              <w:jc w:val="left"/>
              <w:rPr>
                <w:rFonts w:ascii="Times New Roman" w:hAnsi="Times New Roman"/>
                <w:b w:val="0"/>
                <w:sz w:val="20"/>
              </w:rPr>
            </w:pPr>
            <w:r>
              <w:rPr>
                <w:rFonts w:ascii="Times New Roman" w:hAnsi="Times New Roman"/>
                <w:b w:val="0"/>
                <w:sz w:val="20"/>
              </w:rPr>
              <w:t>ConocoPhillips Gas and Power Marketing</w:t>
            </w:r>
          </w:p>
        </w:tc>
      </w:tr>
      <w:tr>
        <w:tc>
          <w:tcPr>
            <w:tcW w:w="2988" w:type="dxa"/>
          </w:tcPr>
          <w:p>
            <w:pPr>
              <w:pStyle w:val="Title"/>
              <w:jc w:val="left"/>
              <w:rPr>
                <w:rFonts w:ascii="Times New Roman" w:hAnsi="Times New Roman"/>
                <w:b w:val="0"/>
                <w:sz w:val="20"/>
              </w:rPr>
            </w:pPr>
            <w:r>
              <w:rPr>
                <w:rFonts w:ascii="Times New Roman" w:hAnsi="Times New Roman"/>
                <w:b w:val="0"/>
                <w:sz w:val="20"/>
              </w:rPr>
              <w:t>Vicky Bailey</w:t>
            </w:r>
          </w:p>
        </w:tc>
        <w:tc>
          <w:tcPr>
            <w:tcW w:w="7020" w:type="dxa"/>
          </w:tcPr>
          <w:p>
            <w:pPr>
              <w:pStyle w:val="Title"/>
              <w:jc w:val="left"/>
              <w:rPr>
                <w:rFonts w:ascii="Times New Roman" w:hAnsi="Times New Roman"/>
                <w:b w:val="0"/>
                <w:sz w:val="20"/>
              </w:rPr>
            </w:pPr>
            <w:r>
              <w:rPr>
                <w:rFonts w:ascii="Times New Roman" w:hAnsi="Times New Roman"/>
                <w:b w:val="0"/>
                <w:sz w:val="20"/>
              </w:rPr>
              <w:t>BHMM Energy Services, LLC</w:t>
            </w:r>
          </w:p>
        </w:tc>
      </w:tr>
      <w:tr>
        <w:tc>
          <w:tcPr>
            <w:tcW w:w="2988" w:type="dxa"/>
          </w:tcPr>
          <w:p>
            <w:pPr>
              <w:pStyle w:val="Title"/>
              <w:jc w:val="left"/>
              <w:rPr>
                <w:rFonts w:ascii="Times New Roman" w:hAnsi="Times New Roman"/>
                <w:b w:val="0"/>
                <w:sz w:val="20"/>
              </w:rPr>
            </w:pPr>
            <w:r>
              <w:rPr>
                <w:rFonts w:ascii="Times New Roman" w:hAnsi="Times New Roman"/>
                <w:b w:val="0"/>
                <w:sz w:val="20"/>
              </w:rPr>
              <w:t>Susanna B. Barry</w:t>
            </w:r>
          </w:p>
        </w:tc>
        <w:tc>
          <w:tcPr>
            <w:tcW w:w="7020" w:type="dxa"/>
          </w:tcPr>
          <w:p>
            <w:pPr>
              <w:pStyle w:val="Title"/>
              <w:jc w:val="left"/>
              <w:rPr>
                <w:rFonts w:ascii="Times New Roman" w:hAnsi="Times New Roman"/>
                <w:b w:val="0"/>
                <w:sz w:val="20"/>
              </w:rPr>
            </w:pPr>
            <w:r>
              <w:rPr>
                <w:rFonts w:ascii="Times New Roman" w:hAnsi="Times New Roman"/>
                <w:b w:val="0"/>
                <w:sz w:val="20"/>
              </w:rPr>
              <w:t>Tennessee Gas Pipeline Company</w:t>
            </w:r>
          </w:p>
        </w:tc>
      </w:tr>
      <w:tr>
        <w:tc>
          <w:tcPr>
            <w:tcW w:w="2988" w:type="dxa"/>
          </w:tcPr>
          <w:p>
            <w:pPr>
              <w:pStyle w:val="Title"/>
              <w:jc w:val="left"/>
              <w:rPr>
                <w:rFonts w:ascii="Times New Roman" w:hAnsi="Times New Roman"/>
                <w:b w:val="0"/>
                <w:sz w:val="20"/>
              </w:rPr>
            </w:pPr>
            <w:r>
              <w:rPr>
                <w:rFonts w:ascii="Times New Roman" w:hAnsi="Times New Roman"/>
                <w:b w:val="0"/>
                <w:sz w:val="20"/>
              </w:rPr>
              <w:t>Jim Buccigross</w:t>
            </w:r>
          </w:p>
        </w:tc>
        <w:tc>
          <w:tcPr>
            <w:tcW w:w="7020" w:type="dxa"/>
          </w:tcPr>
          <w:p>
            <w:pPr>
              <w:pStyle w:val="Title"/>
              <w:jc w:val="left"/>
              <w:rPr>
                <w:rFonts w:ascii="Times New Roman" w:hAnsi="Times New Roman"/>
                <w:b w:val="0"/>
                <w:sz w:val="20"/>
              </w:rPr>
            </w:pPr>
            <w:r>
              <w:rPr>
                <w:rFonts w:ascii="Times New Roman" w:hAnsi="Times New Roman"/>
                <w:b w:val="0"/>
                <w:sz w:val="20"/>
              </w:rPr>
              <w:t>8760 Inc.</w:t>
            </w:r>
          </w:p>
        </w:tc>
      </w:tr>
      <w:tr>
        <w:tc>
          <w:tcPr>
            <w:tcW w:w="2988" w:type="dxa"/>
          </w:tcPr>
          <w:p>
            <w:pPr>
              <w:pStyle w:val="Title"/>
              <w:jc w:val="left"/>
              <w:rPr>
                <w:rFonts w:ascii="Times New Roman" w:hAnsi="Times New Roman"/>
                <w:b w:val="0"/>
                <w:sz w:val="20"/>
              </w:rPr>
            </w:pPr>
            <w:r>
              <w:rPr>
                <w:rFonts w:ascii="Times New Roman" w:hAnsi="Times New Roman"/>
                <w:b w:val="0"/>
                <w:sz w:val="20"/>
              </w:rPr>
              <w:t>Ralph Cleveland</w:t>
            </w:r>
          </w:p>
        </w:tc>
        <w:tc>
          <w:tcPr>
            <w:tcW w:w="7020" w:type="dxa"/>
          </w:tcPr>
          <w:p>
            <w:pPr>
              <w:pStyle w:val="Title"/>
              <w:jc w:val="left"/>
              <w:rPr>
                <w:rFonts w:ascii="Times New Roman" w:hAnsi="Times New Roman"/>
                <w:b w:val="0"/>
                <w:sz w:val="20"/>
              </w:rPr>
            </w:pPr>
            <w:r>
              <w:rPr>
                <w:rFonts w:ascii="Times New Roman" w:hAnsi="Times New Roman"/>
                <w:b w:val="0"/>
                <w:sz w:val="20"/>
              </w:rPr>
              <w:t>AGL Resources, Inc.</w:t>
            </w:r>
          </w:p>
        </w:tc>
      </w:tr>
      <w:tr>
        <w:tc>
          <w:tcPr>
            <w:tcW w:w="2988" w:type="dxa"/>
          </w:tcPr>
          <w:p>
            <w:pPr>
              <w:pStyle w:val="Title"/>
              <w:jc w:val="left"/>
              <w:rPr>
                <w:rFonts w:ascii="Times New Roman" w:hAnsi="Times New Roman"/>
                <w:b w:val="0"/>
                <w:sz w:val="20"/>
              </w:rPr>
            </w:pPr>
            <w:r>
              <w:rPr>
                <w:rFonts w:ascii="Times New Roman" w:hAnsi="Times New Roman"/>
                <w:b w:val="0"/>
                <w:sz w:val="20"/>
              </w:rPr>
              <w:t>Craig Colombo</w:t>
            </w:r>
          </w:p>
        </w:tc>
        <w:tc>
          <w:tcPr>
            <w:tcW w:w="7020" w:type="dxa"/>
          </w:tcPr>
          <w:p>
            <w:pPr>
              <w:pStyle w:val="Title"/>
              <w:jc w:val="left"/>
              <w:rPr>
                <w:rFonts w:ascii="Times New Roman" w:hAnsi="Times New Roman"/>
                <w:b w:val="0"/>
                <w:sz w:val="20"/>
              </w:rPr>
            </w:pPr>
            <w:r>
              <w:rPr>
                <w:rFonts w:ascii="Times New Roman" w:hAnsi="Times New Roman"/>
                <w:b w:val="0"/>
                <w:sz w:val="20"/>
              </w:rPr>
              <w:t>Dominion Resources</w:t>
            </w:r>
          </w:p>
        </w:tc>
      </w:tr>
      <w:tr>
        <w:tc>
          <w:tcPr>
            <w:tcW w:w="2988" w:type="dxa"/>
          </w:tcPr>
          <w:p>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7020" w:type="dxa"/>
          </w:tcPr>
          <w:p>
            <w:pPr>
              <w:pStyle w:val="Title"/>
              <w:jc w:val="left"/>
              <w:rPr>
                <w:rFonts w:ascii="Times New Roman" w:hAnsi="Times New Roman"/>
                <w:b w:val="0"/>
                <w:sz w:val="20"/>
              </w:rPr>
            </w:pPr>
            <w:r>
              <w:rPr>
                <w:rFonts w:ascii="Times New Roman" w:hAnsi="Times New Roman"/>
                <w:b w:val="0"/>
                <w:sz w:val="20"/>
              </w:rPr>
              <w:t>Tennessee Valley Authority</w:t>
            </w:r>
          </w:p>
        </w:tc>
      </w:tr>
      <w:tr>
        <w:tc>
          <w:tcPr>
            <w:tcW w:w="2988" w:type="dxa"/>
          </w:tcPr>
          <w:p>
            <w:pPr>
              <w:pStyle w:val="Title"/>
              <w:jc w:val="left"/>
              <w:rPr>
                <w:rFonts w:ascii="Times New Roman" w:hAnsi="Times New Roman"/>
                <w:b w:val="0"/>
                <w:sz w:val="20"/>
              </w:rPr>
            </w:pPr>
            <w:r>
              <w:rPr>
                <w:rFonts w:ascii="Times New Roman" w:hAnsi="Times New Roman"/>
                <w:b w:val="0"/>
                <w:sz w:val="20"/>
              </w:rPr>
              <w:t>Lorraine Cross</w:t>
            </w:r>
          </w:p>
        </w:tc>
        <w:tc>
          <w:tcPr>
            <w:tcW w:w="7020" w:type="dxa"/>
          </w:tcPr>
          <w:p>
            <w:pPr>
              <w:pStyle w:val="Title"/>
              <w:jc w:val="left"/>
              <w:rPr>
                <w:rFonts w:ascii="Times New Roman" w:hAnsi="Times New Roman"/>
                <w:b w:val="0"/>
                <w:sz w:val="20"/>
              </w:rPr>
            </w:pPr>
            <w:r>
              <w:rPr>
                <w:rFonts w:ascii="Times New Roman" w:hAnsi="Times New Roman"/>
                <w:b w:val="0"/>
                <w:sz w:val="20"/>
              </w:rPr>
              <w:t>Cross &amp; Company, P.L.L.C.</w:t>
            </w:r>
          </w:p>
        </w:tc>
      </w:tr>
      <w:tr>
        <w:tc>
          <w:tcPr>
            <w:tcW w:w="2988" w:type="dxa"/>
          </w:tcPr>
          <w:p>
            <w:pPr>
              <w:pStyle w:val="Title"/>
              <w:jc w:val="left"/>
              <w:rPr>
                <w:rFonts w:ascii="Times New Roman" w:hAnsi="Times New Roman"/>
                <w:b w:val="0"/>
                <w:sz w:val="20"/>
              </w:rPr>
            </w:pPr>
            <w:r>
              <w:rPr>
                <w:rFonts w:ascii="Times New Roman" w:hAnsi="Times New Roman"/>
                <w:b w:val="0"/>
                <w:sz w:val="20"/>
              </w:rPr>
              <w:t>Alex DeBoissiere</w:t>
            </w:r>
          </w:p>
        </w:tc>
        <w:tc>
          <w:tcPr>
            <w:tcW w:w="7020" w:type="dxa"/>
          </w:tcPr>
          <w:p>
            <w:pPr>
              <w:pStyle w:val="Title"/>
              <w:jc w:val="left"/>
              <w:rPr>
                <w:rFonts w:ascii="Times New Roman" w:hAnsi="Times New Roman"/>
                <w:b w:val="0"/>
                <w:sz w:val="20"/>
              </w:rPr>
            </w:pPr>
            <w:r>
              <w:rPr>
                <w:rFonts w:ascii="Times New Roman" w:hAnsi="Times New Roman"/>
                <w:b w:val="0"/>
                <w:sz w:val="20"/>
              </w:rPr>
              <w:t>The United Illuminating Company</w:t>
            </w:r>
          </w:p>
        </w:tc>
      </w:tr>
      <w:tr>
        <w:tc>
          <w:tcPr>
            <w:tcW w:w="2988" w:type="dxa"/>
          </w:tcPr>
          <w:p>
            <w:pPr>
              <w:pStyle w:val="Title"/>
              <w:jc w:val="left"/>
              <w:rPr>
                <w:rFonts w:ascii="Times New Roman" w:hAnsi="Times New Roman"/>
                <w:b w:val="0"/>
                <w:sz w:val="20"/>
              </w:rPr>
            </w:pPr>
            <w:r>
              <w:rPr>
                <w:rFonts w:ascii="Times New Roman" w:hAnsi="Times New Roman"/>
                <w:b w:val="0"/>
                <w:sz w:val="20"/>
              </w:rPr>
              <w:t>Michael Desselle</w:t>
            </w:r>
          </w:p>
        </w:tc>
        <w:tc>
          <w:tcPr>
            <w:tcW w:w="7020" w:type="dxa"/>
          </w:tcPr>
          <w:p>
            <w:pPr>
              <w:pStyle w:val="Title"/>
              <w:jc w:val="left"/>
              <w:rPr>
                <w:rFonts w:ascii="Times New Roman" w:hAnsi="Times New Roman"/>
                <w:b w:val="0"/>
                <w:sz w:val="20"/>
              </w:rPr>
            </w:pPr>
            <w:r>
              <w:rPr>
                <w:rFonts w:ascii="Times New Roman" w:hAnsi="Times New Roman"/>
                <w:b w:val="0"/>
                <w:sz w:val="20"/>
              </w:rPr>
              <w:t>Southwest Power Pool</w:t>
            </w:r>
          </w:p>
        </w:tc>
      </w:tr>
      <w:tr>
        <w:tc>
          <w:tcPr>
            <w:tcW w:w="2988" w:type="dxa"/>
          </w:tcPr>
          <w:p>
            <w:pPr>
              <w:pStyle w:val="Title"/>
              <w:jc w:val="left"/>
              <w:rPr>
                <w:rFonts w:ascii="Times New Roman" w:hAnsi="Times New Roman"/>
                <w:b w:val="0"/>
                <w:sz w:val="20"/>
              </w:rPr>
            </w:pPr>
            <w:r>
              <w:rPr>
                <w:rFonts w:ascii="Times New Roman" w:hAnsi="Times New Roman"/>
                <w:b w:val="0"/>
                <w:sz w:val="20"/>
              </w:rPr>
              <w:t>Katie Elder</w:t>
            </w:r>
          </w:p>
        </w:tc>
        <w:tc>
          <w:tcPr>
            <w:tcW w:w="7020" w:type="dxa"/>
          </w:tcPr>
          <w:p>
            <w:pPr>
              <w:pStyle w:val="Title"/>
              <w:jc w:val="left"/>
              <w:rPr>
                <w:rFonts w:ascii="Times New Roman" w:hAnsi="Times New Roman"/>
                <w:b w:val="0"/>
                <w:sz w:val="20"/>
              </w:rPr>
            </w:pPr>
            <w:r>
              <w:rPr>
                <w:rFonts w:ascii="Times New Roman" w:hAnsi="Times New Roman"/>
                <w:b w:val="0"/>
                <w:sz w:val="20"/>
              </w:rPr>
              <w:t>Aspen Environmental Group</w:t>
            </w:r>
          </w:p>
        </w:tc>
      </w:tr>
      <w:tr>
        <w:tc>
          <w:tcPr>
            <w:tcW w:w="2988" w:type="dxa"/>
          </w:tcPr>
          <w:p>
            <w:pPr>
              <w:pStyle w:val="Title"/>
              <w:jc w:val="left"/>
              <w:rPr>
                <w:rFonts w:ascii="Times New Roman" w:hAnsi="Times New Roman"/>
                <w:b w:val="0"/>
                <w:sz w:val="20"/>
              </w:rPr>
            </w:pPr>
            <w:r>
              <w:rPr>
                <w:rFonts w:ascii="Times New Roman" w:hAnsi="Times New Roman"/>
                <w:b w:val="0"/>
                <w:sz w:val="20"/>
              </w:rPr>
              <w:t>Bruce Ellsworth</w:t>
            </w:r>
          </w:p>
        </w:tc>
        <w:tc>
          <w:tcPr>
            <w:tcW w:w="7020" w:type="dxa"/>
          </w:tcPr>
          <w:p>
            <w:pPr>
              <w:pStyle w:val="Title"/>
              <w:jc w:val="left"/>
              <w:rPr>
                <w:rFonts w:ascii="Times New Roman" w:hAnsi="Times New Roman"/>
                <w:b w:val="0"/>
                <w:sz w:val="20"/>
              </w:rPr>
            </w:pPr>
            <w:r>
              <w:rPr>
                <w:rFonts w:ascii="Times New Roman" w:hAnsi="Times New Roman"/>
                <w:b w:val="0"/>
                <w:sz w:val="20"/>
              </w:rPr>
              <w:t>New York State Reliability Council</w:t>
            </w:r>
          </w:p>
        </w:tc>
      </w:tr>
      <w:tr>
        <w:tc>
          <w:tcPr>
            <w:tcW w:w="2988" w:type="dxa"/>
          </w:tcPr>
          <w:p>
            <w:pPr>
              <w:pStyle w:val="Title"/>
              <w:jc w:val="left"/>
              <w:rPr>
                <w:rFonts w:ascii="Times New Roman" w:hAnsi="Times New Roman"/>
                <w:b w:val="0"/>
                <w:sz w:val="20"/>
              </w:rPr>
            </w:pPr>
            <w:r>
              <w:rPr>
                <w:rFonts w:ascii="Times New Roman" w:hAnsi="Times New Roman"/>
                <w:b w:val="0"/>
                <w:sz w:val="20"/>
              </w:rPr>
              <w:t>Lisa Epifani</w:t>
            </w:r>
          </w:p>
        </w:tc>
        <w:tc>
          <w:tcPr>
            <w:tcW w:w="7020" w:type="dxa"/>
          </w:tcPr>
          <w:p>
            <w:pPr>
              <w:pStyle w:val="Title"/>
              <w:jc w:val="left"/>
              <w:rPr>
                <w:rFonts w:ascii="Times New Roman" w:hAnsi="Times New Roman"/>
                <w:b w:val="0"/>
                <w:sz w:val="20"/>
              </w:rPr>
            </w:pPr>
            <w:r>
              <w:rPr>
                <w:rFonts w:ascii="Times New Roman" w:hAnsi="Times New Roman"/>
                <w:b w:val="0"/>
                <w:sz w:val="20"/>
              </w:rPr>
              <w:t>Van Ness Feldman</w:t>
            </w:r>
          </w:p>
        </w:tc>
      </w:tr>
      <w:tr>
        <w:tc>
          <w:tcPr>
            <w:tcW w:w="2988" w:type="dxa"/>
          </w:tcPr>
          <w:p>
            <w:pPr>
              <w:pStyle w:val="Title"/>
              <w:jc w:val="left"/>
              <w:rPr>
                <w:rFonts w:ascii="Times New Roman" w:hAnsi="Times New Roman"/>
                <w:b w:val="0"/>
                <w:sz w:val="20"/>
              </w:rPr>
            </w:pPr>
            <w:r>
              <w:rPr>
                <w:rFonts w:ascii="Times New Roman" w:hAnsi="Times New Roman"/>
                <w:b w:val="0"/>
                <w:sz w:val="20"/>
              </w:rPr>
              <w:t xml:space="preserve">Christopher </w:t>
            </w:r>
            <w:proofErr w:type="spellStart"/>
            <w:r>
              <w:rPr>
                <w:rFonts w:ascii="Times New Roman" w:hAnsi="Times New Roman"/>
                <w:b w:val="0"/>
                <w:sz w:val="20"/>
              </w:rPr>
              <w:t>Freitas</w:t>
            </w:r>
            <w:proofErr w:type="spellEnd"/>
          </w:p>
        </w:tc>
        <w:tc>
          <w:tcPr>
            <w:tcW w:w="7020" w:type="dxa"/>
          </w:tcPr>
          <w:p>
            <w:pPr>
              <w:pStyle w:val="Title"/>
              <w:jc w:val="left"/>
              <w:rPr>
                <w:rFonts w:ascii="Times New Roman" w:hAnsi="Times New Roman"/>
                <w:b w:val="0"/>
                <w:sz w:val="20"/>
              </w:rPr>
            </w:pPr>
            <w:r>
              <w:rPr>
                <w:rFonts w:ascii="Times New Roman" w:hAnsi="Times New Roman"/>
                <w:b w:val="0"/>
                <w:sz w:val="20"/>
              </w:rPr>
              <w:t>US Department of Energy</w:t>
            </w:r>
          </w:p>
        </w:tc>
      </w:tr>
      <w:tr>
        <w:tc>
          <w:tcPr>
            <w:tcW w:w="2988" w:type="dxa"/>
          </w:tcPr>
          <w:p>
            <w:pPr>
              <w:pStyle w:val="Title"/>
              <w:jc w:val="left"/>
              <w:rPr>
                <w:rFonts w:ascii="Times New Roman" w:hAnsi="Times New Roman"/>
                <w:b w:val="0"/>
                <w:sz w:val="20"/>
              </w:rPr>
            </w:pPr>
            <w:r>
              <w:rPr>
                <w:rFonts w:ascii="Times New Roman" w:hAnsi="Times New Roman"/>
                <w:b w:val="0"/>
                <w:sz w:val="20"/>
              </w:rPr>
              <w:t>Arthur Fusco</w:t>
            </w:r>
          </w:p>
        </w:tc>
        <w:tc>
          <w:tcPr>
            <w:tcW w:w="7020" w:type="dxa"/>
          </w:tcPr>
          <w:p>
            <w:pPr>
              <w:pStyle w:val="Title"/>
              <w:jc w:val="left"/>
              <w:rPr>
                <w:rFonts w:ascii="Times New Roman" w:hAnsi="Times New Roman"/>
                <w:b w:val="0"/>
                <w:sz w:val="20"/>
              </w:rPr>
            </w:pPr>
            <w:r>
              <w:rPr>
                <w:rFonts w:ascii="Times New Roman" w:hAnsi="Times New Roman"/>
                <w:b w:val="0"/>
                <w:sz w:val="20"/>
              </w:rPr>
              <w:t>Central Electric Power Cooperative Inc.</w:t>
            </w:r>
          </w:p>
        </w:tc>
      </w:tr>
      <w:tr>
        <w:tc>
          <w:tcPr>
            <w:tcW w:w="2988" w:type="dxa"/>
          </w:tcPr>
          <w:p>
            <w:pPr>
              <w:pStyle w:val="Title"/>
              <w:jc w:val="left"/>
              <w:rPr>
                <w:rFonts w:ascii="Times New Roman" w:hAnsi="Times New Roman"/>
                <w:b w:val="0"/>
                <w:sz w:val="20"/>
              </w:rPr>
            </w:pPr>
            <w:r>
              <w:rPr>
                <w:rFonts w:ascii="Times New Roman" w:hAnsi="Times New Roman"/>
                <w:b w:val="0"/>
                <w:sz w:val="20"/>
              </w:rPr>
              <w:t>William Gallagher</w:t>
            </w:r>
          </w:p>
        </w:tc>
        <w:tc>
          <w:tcPr>
            <w:tcW w:w="7020" w:type="dxa"/>
          </w:tcPr>
          <w:p>
            <w:pPr>
              <w:pStyle w:val="Title"/>
              <w:jc w:val="left"/>
              <w:rPr>
                <w:rFonts w:ascii="Times New Roman" w:hAnsi="Times New Roman"/>
                <w:b w:val="0"/>
                <w:sz w:val="20"/>
              </w:rPr>
            </w:pPr>
            <w:r>
              <w:rPr>
                <w:rFonts w:ascii="Times New Roman" w:hAnsi="Times New Roman"/>
                <w:b w:val="0"/>
                <w:sz w:val="20"/>
              </w:rPr>
              <w:t>Vermont Public Power Supply Authority</w:t>
            </w:r>
          </w:p>
        </w:tc>
      </w:tr>
      <w:tr>
        <w:tc>
          <w:tcPr>
            <w:tcW w:w="2988" w:type="dxa"/>
          </w:tcPr>
          <w:p>
            <w:pPr>
              <w:pStyle w:val="Title"/>
              <w:jc w:val="left"/>
              <w:rPr>
                <w:rFonts w:ascii="Times New Roman" w:hAnsi="Times New Roman"/>
                <w:b w:val="0"/>
                <w:sz w:val="20"/>
              </w:rPr>
            </w:pPr>
            <w:r>
              <w:rPr>
                <w:rFonts w:ascii="Times New Roman" w:hAnsi="Times New Roman"/>
                <w:b w:val="0"/>
                <w:sz w:val="20"/>
              </w:rPr>
              <w:t>Bob Gee</w:t>
            </w:r>
          </w:p>
        </w:tc>
        <w:tc>
          <w:tcPr>
            <w:tcW w:w="7020" w:type="dxa"/>
          </w:tcPr>
          <w:p>
            <w:pPr>
              <w:pStyle w:val="Title"/>
              <w:jc w:val="left"/>
              <w:rPr>
                <w:rFonts w:ascii="Times New Roman" w:hAnsi="Times New Roman"/>
                <w:b w:val="0"/>
                <w:sz w:val="20"/>
              </w:rPr>
            </w:pPr>
            <w:r>
              <w:rPr>
                <w:rFonts w:ascii="Times New Roman" w:hAnsi="Times New Roman"/>
                <w:b w:val="0"/>
                <w:sz w:val="20"/>
              </w:rPr>
              <w:t>Gee Strategies Group, LLC</w:t>
            </w:r>
          </w:p>
        </w:tc>
      </w:tr>
      <w:tr>
        <w:tc>
          <w:tcPr>
            <w:tcW w:w="2988" w:type="dxa"/>
          </w:tcPr>
          <w:p>
            <w:pPr>
              <w:pStyle w:val="Title"/>
              <w:jc w:val="left"/>
              <w:rPr>
                <w:rFonts w:ascii="Times New Roman" w:hAnsi="Times New Roman"/>
                <w:b w:val="0"/>
                <w:sz w:val="20"/>
              </w:rPr>
            </w:pPr>
            <w:proofErr w:type="spellStart"/>
            <w:r>
              <w:rPr>
                <w:rFonts w:ascii="Times New Roman" w:hAnsi="Times New Roman"/>
                <w:b w:val="0"/>
                <w:sz w:val="20"/>
              </w:rPr>
              <w:t>Michehl</w:t>
            </w:r>
            <w:proofErr w:type="spellEnd"/>
            <w:r>
              <w:rPr>
                <w:rFonts w:ascii="Times New Roman" w:hAnsi="Times New Roman"/>
                <w:b w:val="0"/>
                <w:sz w:val="20"/>
              </w:rPr>
              <w:t xml:space="preserve"> Gent</w:t>
            </w:r>
          </w:p>
        </w:tc>
        <w:tc>
          <w:tcPr>
            <w:tcW w:w="7020" w:type="dxa"/>
          </w:tcPr>
          <w:p>
            <w:pPr>
              <w:pStyle w:val="Title"/>
              <w:jc w:val="left"/>
              <w:rPr>
                <w:rFonts w:ascii="Times New Roman" w:hAnsi="Times New Roman"/>
                <w:b w:val="0"/>
                <w:sz w:val="20"/>
              </w:rPr>
            </w:pPr>
            <w:r>
              <w:rPr>
                <w:rFonts w:ascii="Times New Roman" w:hAnsi="Times New Roman"/>
                <w:b w:val="0"/>
                <w:sz w:val="20"/>
              </w:rPr>
              <w:t>Open Access Technology International, Inc.</w:t>
            </w:r>
          </w:p>
        </w:tc>
      </w:tr>
      <w:tr>
        <w:tc>
          <w:tcPr>
            <w:tcW w:w="2988" w:type="dxa"/>
          </w:tcPr>
          <w:p>
            <w:pPr>
              <w:pStyle w:val="Title"/>
              <w:jc w:val="left"/>
              <w:rPr>
                <w:rFonts w:ascii="Times New Roman" w:hAnsi="Times New Roman"/>
                <w:b w:val="0"/>
                <w:sz w:val="20"/>
              </w:rPr>
            </w:pPr>
            <w:r>
              <w:rPr>
                <w:rFonts w:ascii="Times New Roman" w:hAnsi="Times New Roman"/>
                <w:b w:val="0"/>
                <w:sz w:val="20"/>
              </w:rPr>
              <w:t>Michael Goldenberg</w:t>
            </w:r>
          </w:p>
        </w:tc>
        <w:tc>
          <w:tcPr>
            <w:tcW w:w="7020" w:type="dxa"/>
          </w:tcPr>
          <w:p>
            <w:pPr>
              <w:pStyle w:val="Title"/>
              <w:jc w:val="left"/>
              <w:rPr>
                <w:rFonts w:ascii="Times New Roman" w:hAnsi="Times New Roman"/>
                <w:b w:val="0"/>
                <w:sz w:val="20"/>
              </w:rPr>
            </w:pPr>
            <w:r>
              <w:rPr>
                <w:rFonts w:ascii="Times New Roman" w:hAnsi="Times New Roman"/>
                <w:b w:val="0"/>
                <w:sz w:val="20"/>
              </w:rPr>
              <w:t>FERC</w:t>
            </w:r>
          </w:p>
        </w:tc>
      </w:tr>
      <w:tr>
        <w:tc>
          <w:tcPr>
            <w:tcW w:w="2988" w:type="dxa"/>
          </w:tcPr>
          <w:p>
            <w:pPr>
              <w:pStyle w:val="Title"/>
              <w:jc w:val="left"/>
              <w:rPr>
                <w:rFonts w:ascii="Times New Roman" w:hAnsi="Times New Roman"/>
                <w:b w:val="0"/>
                <w:sz w:val="20"/>
              </w:rPr>
            </w:pPr>
            <w:r>
              <w:rPr>
                <w:rFonts w:ascii="Times New Roman" w:hAnsi="Times New Roman"/>
                <w:b w:val="0"/>
                <w:sz w:val="20"/>
              </w:rPr>
              <w:t xml:space="preserve">Joseph </w:t>
            </w:r>
            <w:proofErr w:type="spellStart"/>
            <w:r>
              <w:rPr>
                <w:rFonts w:ascii="Times New Roman" w:hAnsi="Times New Roman"/>
                <w:b w:val="0"/>
                <w:sz w:val="20"/>
              </w:rPr>
              <w:t>Hartsoe</w:t>
            </w:r>
            <w:proofErr w:type="spellEnd"/>
          </w:p>
        </w:tc>
        <w:tc>
          <w:tcPr>
            <w:tcW w:w="7020" w:type="dxa"/>
          </w:tcPr>
          <w:p>
            <w:pPr>
              <w:pStyle w:val="Title"/>
              <w:jc w:val="left"/>
              <w:rPr>
                <w:rFonts w:ascii="Times New Roman" w:hAnsi="Times New Roman"/>
                <w:b w:val="0"/>
                <w:sz w:val="20"/>
              </w:rPr>
            </w:pPr>
            <w:r>
              <w:rPr>
                <w:rFonts w:ascii="Times New Roman" w:hAnsi="Times New Roman"/>
                <w:b w:val="0"/>
                <w:sz w:val="20"/>
              </w:rPr>
              <w:t>American Electric Power Service Corp.</w:t>
            </w:r>
          </w:p>
        </w:tc>
      </w:tr>
      <w:tr>
        <w:tc>
          <w:tcPr>
            <w:tcW w:w="2988" w:type="dxa"/>
          </w:tcPr>
          <w:p>
            <w:pPr>
              <w:pStyle w:val="Title"/>
              <w:jc w:val="left"/>
              <w:rPr>
                <w:rFonts w:ascii="Times New Roman" w:hAnsi="Times New Roman"/>
                <w:b w:val="0"/>
                <w:sz w:val="20"/>
              </w:rPr>
            </w:pPr>
            <w:r>
              <w:rPr>
                <w:rFonts w:ascii="Times New Roman" w:hAnsi="Times New Roman"/>
                <w:b w:val="0"/>
                <w:sz w:val="20"/>
              </w:rPr>
              <w:t>Jesse D. Hurley</w:t>
            </w:r>
          </w:p>
        </w:tc>
        <w:tc>
          <w:tcPr>
            <w:tcW w:w="7020" w:type="dxa"/>
          </w:tcPr>
          <w:p>
            <w:pPr>
              <w:pStyle w:val="Title"/>
              <w:jc w:val="left"/>
              <w:rPr>
                <w:rFonts w:ascii="Times New Roman" w:hAnsi="Times New Roman"/>
                <w:b w:val="0"/>
                <w:sz w:val="20"/>
              </w:rPr>
            </w:pPr>
            <w:r>
              <w:rPr>
                <w:rFonts w:ascii="Times New Roman" w:hAnsi="Times New Roman"/>
                <w:b w:val="0"/>
                <w:sz w:val="20"/>
              </w:rPr>
              <w:t>Shift Research, LLC</w:t>
            </w:r>
          </w:p>
        </w:tc>
      </w:tr>
      <w:tr>
        <w:tc>
          <w:tcPr>
            <w:tcW w:w="2988" w:type="dxa"/>
          </w:tcPr>
          <w:p>
            <w:pPr>
              <w:pStyle w:val="Title"/>
              <w:jc w:val="left"/>
              <w:rPr>
                <w:rFonts w:ascii="Times New Roman" w:hAnsi="Times New Roman"/>
                <w:b w:val="0"/>
                <w:sz w:val="20"/>
              </w:rPr>
            </w:pPr>
            <w:r>
              <w:rPr>
                <w:rFonts w:ascii="Times New Roman" w:hAnsi="Times New Roman"/>
                <w:b w:val="0"/>
                <w:sz w:val="20"/>
              </w:rPr>
              <w:t>Kevin Kirby</w:t>
            </w:r>
          </w:p>
        </w:tc>
        <w:tc>
          <w:tcPr>
            <w:tcW w:w="7020" w:type="dxa"/>
          </w:tcPr>
          <w:p>
            <w:pPr>
              <w:pStyle w:val="Title"/>
              <w:jc w:val="left"/>
              <w:rPr>
                <w:rFonts w:ascii="Times New Roman" w:hAnsi="Times New Roman"/>
                <w:b w:val="0"/>
                <w:sz w:val="20"/>
              </w:rPr>
            </w:pPr>
            <w:r>
              <w:rPr>
                <w:rFonts w:ascii="Times New Roman" w:hAnsi="Times New Roman"/>
                <w:b w:val="0"/>
                <w:sz w:val="20"/>
              </w:rPr>
              <w:t>ISO New England, Inc.</w:t>
            </w:r>
          </w:p>
        </w:tc>
      </w:tr>
      <w:tr>
        <w:tc>
          <w:tcPr>
            <w:tcW w:w="2988" w:type="dxa"/>
          </w:tcPr>
          <w:p>
            <w:pPr>
              <w:pStyle w:val="Title"/>
              <w:jc w:val="left"/>
              <w:rPr>
                <w:rFonts w:ascii="Times New Roman" w:hAnsi="Times New Roman"/>
                <w:b w:val="0"/>
                <w:sz w:val="20"/>
              </w:rPr>
            </w:pPr>
            <w:r>
              <w:rPr>
                <w:rFonts w:ascii="Times New Roman" w:hAnsi="Times New Roman"/>
                <w:b w:val="0"/>
                <w:sz w:val="20"/>
              </w:rPr>
              <w:t>Richard Kruse</w:t>
            </w:r>
          </w:p>
        </w:tc>
        <w:tc>
          <w:tcPr>
            <w:tcW w:w="7020" w:type="dxa"/>
          </w:tcPr>
          <w:p>
            <w:pPr>
              <w:pStyle w:val="Title"/>
              <w:jc w:val="left"/>
              <w:rPr>
                <w:rFonts w:ascii="Times New Roman" w:hAnsi="Times New Roman"/>
                <w:b w:val="0"/>
                <w:sz w:val="20"/>
              </w:rPr>
            </w:pPr>
            <w:r>
              <w:rPr>
                <w:rFonts w:ascii="Times New Roman" w:hAnsi="Times New Roman"/>
                <w:b w:val="0"/>
                <w:sz w:val="20"/>
              </w:rPr>
              <w:t>Spectra Energy Transmission</w:t>
            </w:r>
          </w:p>
        </w:tc>
      </w:tr>
      <w:tr>
        <w:tc>
          <w:tcPr>
            <w:tcW w:w="2988" w:type="dxa"/>
          </w:tcPr>
          <w:p>
            <w:pPr>
              <w:pStyle w:val="Title"/>
              <w:jc w:val="left"/>
              <w:rPr>
                <w:rFonts w:ascii="Times New Roman" w:hAnsi="Times New Roman"/>
                <w:b w:val="0"/>
                <w:sz w:val="20"/>
              </w:rPr>
            </w:pPr>
            <w:r>
              <w:rPr>
                <w:rFonts w:ascii="Times New Roman" w:hAnsi="Times New Roman"/>
                <w:b w:val="0"/>
                <w:sz w:val="20"/>
              </w:rPr>
              <w:t>Gregory Lander</w:t>
            </w:r>
          </w:p>
        </w:tc>
        <w:tc>
          <w:tcPr>
            <w:tcW w:w="7020" w:type="dxa"/>
          </w:tcPr>
          <w:p>
            <w:pPr>
              <w:pStyle w:val="Title"/>
              <w:jc w:val="both"/>
              <w:rPr>
                <w:rFonts w:ascii="Times New Roman" w:hAnsi="Times New Roman"/>
                <w:b w:val="0"/>
                <w:sz w:val="20"/>
              </w:rPr>
            </w:pPr>
            <w:r>
              <w:rPr>
                <w:rFonts w:ascii="Times New Roman" w:hAnsi="Times New Roman"/>
                <w:b w:val="0"/>
                <w:sz w:val="20"/>
              </w:rPr>
              <w:t>Capacity Center</w:t>
            </w:r>
          </w:p>
        </w:tc>
      </w:tr>
      <w:tr>
        <w:tc>
          <w:tcPr>
            <w:tcW w:w="2988" w:type="dxa"/>
          </w:tcPr>
          <w:p>
            <w:pPr>
              <w:pStyle w:val="Title"/>
              <w:jc w:val="left"/>
              <w:rPr>
                <w:rFonts w:ascii="Times New Roman" w:hAnsi="Times New Roman"/>
                <w:b w:val="0"/>
                <w:sz w:val="20"/>
              </w:rPr>
            </w:pPr>
            <w:r>
              <w:rPr>
                <w:rFonts w:ascii="Times New Roman" w:hAnsi="Times New Roman"/>
                <w:b w:val="0"/>
                <w:sz w:val="20"/>
              </w:rPr>
              <w:t>Wayne Moore</w:t>
            </w:r>
          </w:p>
        </w:tc>
        <w:tc>
          <w:tcPr>
            <w:tcW w:w="7020" w:type="dxa"/>
          </w:tcPr>
          <w:p>
            <w:pPr>
              <w:pStyle w:val="Title"/>
              <w:jc w:val="left"/>
              <w:rPr>
                <w:rFonts w:ascii="Times New Roman" w:hAnsi="Times New Roman"/>
                <w:b w:val="0"/>
                <w:sz w:val="20"/>
              </w:rPr>
            </w:pPr>
            <w:r>
              <w:rPr>
                <w:rFonts w:ascii="Times New Roman" w:hAnsi="Times New Roman"/>
                <w:b w:val="0"/>
                <w:sz w:val="20"/>
              </w:rPr>
              <w:t>Southern Company</w:t>
            </w:r>
          </w:p>
        </w:tc>
      </w:tr>
      <w:tr>
        <w:tc>
          <w:tcPr>
            <w:tcW w:w="2988" w:type="dxa"/>
          </w:tcPr>
          <w:p>
            <w:pPr>
              <w:pStyle w:val="Title"/>
              <w:jc w:val="left"/>
              <w:rPr>
                <w:rFonts w:ascii="Times New Roman" w:hAnsi="Times New Roman"/>
                <w:b w:val="0"/>
                <w:sz w:val="20"/>
              </w:rPr>
            </w:pPr>
            <w:proofErr w:type="spellStart"/>
            <w:r>
              <w:rPr>
                <w:rFonts w:ascii="Times New Roman" w:hAnsi="Times New Roman"/>
                <w:b w:val="0"/>
                <w:sz w:val="20"/>
              </w:rPr>
              <w:t>Rana</w:t>
            </w:r>
            <w:proofErr w:type="spellEnd"/>
            <w:r>
              <w:rPr>
                <w:rFonts w:ascii="Times New Roman" w:hAnsi="Times New Roman"/>
                <w:b w:val="0"/>
                <w:sz w:val="20"/>
              </w:rPr>
              <w:t xml:space="preserve"> </w:t>
            </w:r>
            <w:proofErr w:type="spellStart"/>
            <w:r>
              <w:rPr>
                <w:rFonts w:ascii="Times New Roman" w:hAnsi="Times New Roman"/>
                <w:b w:val="0"/>
                <w:sz w:val="20"/>
              </w:rPr>
              <w:t>Mukerji</w:t>
            </w:r>
            <w:proofErr w:type="spellEnd"/>
          </w:p>
        </w:tc>
        <w:tc>
          <w:tcPr>
            <w:tcW w:w="7020" w:type="dxa"/>
          </w:tcPr>
          <w:p>
            <w:pPr>
              <w:pStyle w:val="Title"/>
              <w:jc w:val="left"/>
              <w:rPr>
                <w:rFonts w:ascii="Times New Roman" w:hAnsi="Times New Roman"/>
                <w:b w:val="0"/>
                <w:sz w:val="20"/>
              </w:rPr>
            </w:pPr>
            <w:r>
              <w:rPr>
                <w:rFonts w:ascii="Times New Roman" w:hAnsi="Times New Roman"/>
                <w:b w:val="0"/>
                <w:sz w:val="20"/>
              </w:rPr>
              <w:t>New York Independent System Operator, Inc. (NYISO)</w:t>
            </w:r>
          </w:p>
        </w:tc>
      </w:tr>
      <w:tr>
        <w:tc>
          <w:tcPr>
            <w:tcW w:w="2988" w:type="dxa"/>
          </w:tcPr>
          <w:p>
            <w:pPr>
              <w:pStyle w:val="Title"/>
              <w:jc w:val="left"/>
              <w:rPr>
                <w:rFonts w:ascii="Times New Roman" w:hAnsi="Times New Roman"/>
                <w:b w:val="0"/>
                <w:sz w:val="20"/>
              </w:rPr>
            </w:pPr>
            <w:r>
              <w:rPr>
                <w:rFonts w:ascii="Times New Roman" w:hAnsi="Times New Roman"/>
                <w:b w:val="0"/>
                <w:sz w:val="20"/>
              </w:rPr>
              <w:t>Lou Oberski</w:t>
            </w:r>
          </w:p>
        </w:tc>
        <w:tc>
          <w:tcPr>
            <w:tcW w:w="7020" w:type="dxa"/>
          </w:tcPr>
          <w:p>
            <w:pPr>
              <w:pStyle w:val="Title"/>
              <w:jc w:val="left"/>
              <w:rPr>
                <w:rFonts w:ascii="Times New Roman" w:hAnsi="Times New Roman"/>
                <w:b w:val="0"/>
                <w:sz w:val="20"/>
              </w:rPr>
            </w:pPr>
            <w:r>
              <w:rPr>
                <w:rFonts w:ascii="Times New Roman" w:hAnsi="Times New Roman"/>
                <w:b w:val="0"/>
                <w:sz w:val="20"/>
              </w:rPr>
              <w:t>Dominion Resources Services, Inc.</w:t>
            </w:r>
          </w:p>
        </w:tc>
      </w:tr>
      <w:tr>
        <w:tc>
          <w:tcPr>
            <w:tcW w:w="2988" w:type="dxa"/>
          </w:tcPr>
          <w:p>
            <w:pPr>
              <w:pStyle w:val="Title"/>
              <w:jc w:val="left"/>
              <w:rPr>
                <w:rFonts w:ascii="Times New Roman" w:hAnsi="Times New Roman"/>
                <w:b w:val="0"/>
                <w:sz w:val="20"/>
              </w:rPr>
            </w:pPr>
            <w:r>
              <w:rPr>
                <w:rFonts w:ascii="Times New Roman" w:hAnsi="Times New Roman"/>
                <w:b w:val="0"/>
                <w:sz w:val="20"/>
              </w:rPr>
              <w:t xml:space="preserve">Joelle </w:t>
            </w:r>
            <w:proofErr w:type="spellStart"/>
            <w:r>
              <w:rPr>
                <w:rFonts w:ascii="Times New Roman" w:hAnsi="Times New Roman"/>
                <w:b w:val="0"/>
                <w:sz w:val="20"/>
              </w:rPr>
              <w:t>Ogg</w:t>
            </w:r>
            <w:proofErr w:type="spellEnd"/>
          </w:p>
        </w:tc>
        <w:tc>
          <w:tcPr>
            <w:tcW w:w="7020" w:type="dxa"/>
          </w:tcPr>
          <w:p>
            <w:pPr>
              <w:pStyle w:val="Title"/>
              <w:jc w:val="left"/>
              <w:rPr>
                <w:rFonts w:ascii="Times New Roman" w:hAnsi="Times New Roman"/>
                <w:b w:val="0"/>
                <w:sz w:val="20"/>
              </w:rPr>
            </w:pPr>
            <w:r>
              <w:rPr>
                <w:rFonts w:ascii="Times New Roman" w:hAnsi="Times New Roman"/>
                <w:b w:val="0"/>
                <w:sz w:val="20"/>
              </w:rPr>
              <w:t>DC Energy</w:t>
            </w:r>
          </w:p>
        </w:tc>
      </w:tr>
      <w:tr>
        <w:tc>
          <w:tcPr>
            <w:tcW w:w="2988" w:type="dxa"/>
          </w:tcPr>
          <w:p>
            <w:pPr>
              <w:pStyle w:val="Title"/>
              <w:jc w:val="left"/>
              <w:rPr>
                <w:rFonts w:ascii="Times New Roman" w:hAnsi="Times New Roman"/>
                <w:b w:val="0"/>
                <w:sz w:val="20"/>
              </w:rPr>
            </w:pPr>
            <w:r>
              <w:rPr>
                <w:rFonts w:ascii="Times New Roman" w:hAnsi="Times New Roman"/>
                <w:b w:val="0"/>
                <w:sz w:val="20"/>
              </w:rPr>
              <w:t>Randy E. Parker</w:t>
            </w:r>
          </w:p>
        </w:tc>
        <w:tc>
          <w:tcPr>
            <w:tcW w:w="7020" w:type="dxa"/>
          </w:tcPr>
          <w:p>
            <w:pPr>
              <w:pStyle w:val="Title"/>
              <w:jc w:val="left"/>
              <w:rPr>
                <w:rFonts w:ascii="Times New Roman" w:hAnsi="Times New Roman"/>
                <w:b w:val="0"/>
                <w:sz w:val="20"/>
              </w:rPr>
            </w:pPr>
            <w:r>
              <w:rPr>
                <w:rFonts w:ascii="Times New Roman" w:hAnsi="Times New Roman"/>
                <w:b w:val="0"/>
                <w:sz w:val="20"/>
              </w:rPr>
              <w:t xml:space="preserve">ExxonMobil Gas and Power Marketing Company </w:t>
            </w:r>
          </w:p>
        </w:tc>
      </w:tr>
      <w:tr>
        <w:tc>
          <w:tcPr>
            <w:tcW w:w="2988" w:type="dxa"/>
          </w:tcPr>
          <w:p>
            <w:pPr>
              <w:pStyle w:val="Title"/>
              <w:jc w:val="left"/>
              <w:rPr>
                <w:rFonts w:ascii="Times New Roman" w:hAnsi="Times New Roman"/>
                <w:b w:val="0"/>
                <w:sz w:val="20"/>
              </w:rPr>
            </w:pPr>
            <w:r>
              <w:rPr>
                <w:rFonts w:ascii="Times New Roman" w:hAnsi="Times New Roman"/>
                <w:b w:val="0"/>
                <w:sz w:val="20"/>
              </w:rPr>
              <w:t>Marty Patterson</w:t>
            </w:r>
          </w:p>
        </w:tc>
        <w:tc>
          <w:tcPr>
            <w:tcW w:w="7020" w:type="dxa"/>
          </w:tcPr>
          <w:p>
            <w:pPr>
              <w:pStyle w:val="Title"/>
              <w:jc w:val="left"/>
              <w:rPr>
                <w:rFonts w:ascii="Times New Roman" w:hAnsi="Times New Roman"/>
                <w:b w:val="0"/>
                <w:sz w:val="20"/>
              </w:rPr>
            </w:pPr>
            <w:r>
              <w:rPr>
                <w:rFonts w:ascii="Times New Roman" w:hAnsi="Times New Roman"/>
                <w:b w:val="0"/>
                <w:sz w:val="20"/>
              </w:rPr>
              <w:t>American Midstream Partners, LP</w:t>
            </w:r>
          </w:p>
        </w:tc>
      </w:tr>
      <w:tr>
        <w:tc>
          <w:tcPr>
            <w:tcW w:w="2988" w:type="dxa"/>
          </w:tcPr>
          <w:p>
            <w:pPr>
              <w:pStyle w:val="Title"/>
              <w:jc w:val="left"/>
              <w:rPr>
                <w:rFonts w:ascii="Times New Roman" w:hAnsi="Times New Roman"/>
                <w:b w:val="0"/>
                <w:sz w:val="20"/>
              </w:rPr>
            </w:pPr>
            <w:r>
              <w:rPr>
                <w:rFonts w:ascii="Times New Roman" w:hAnsi="Times New Roman"/>
                <w:b w:val="0"/>
                <w:sz w:val="20"/>
              </w:rPr>
              <w:t>Andrew Rodriquez</w:t>
            </w:r>
          </w:p>
        </w:tc>
        <w:tc>
          <w:tcPr>
            <w:tcW w:w="7020" w:type="dxa"/>
          </w:tcPr>
          <w:p>
            <w:pPr>
              <w:pStyle w:val="Title"/>
              <w:jc w:val="left"/>
              <w:rPr>
                <w:rFonts w:ascii="Times New Roman" w:hAnsi="Times New Roman"/>
                <w:b w:val="0"/>
                <w:sz w:val="20"/>
              </w:rPr>
            </w:pPr>
            <w:r>
              <w:rPr>
                <w:rFonts w:ascii="Times New Roman" w:hAnsi="Times New Roman"/>
                <w:b w:val="0"/>
                <w:sz w:val="20"/>
              </w:rPr>
              <w:t>North American Electric Reliability Corporation</w:t>
            </w:r>
          </w:p>
        </w:tc>
      </w:tr>
      <w:tr>
        <w:tc>
          <w:tcPr>
            <w:tcW w:w="2988" w:type="dxa"/>
          </w:tcPr>
          <w:p>
            <w:pPr>
              <w:pStyle w:val="Title"/>
              <w:jc w:val="left"/>
              <w:rPr>
                <w:rFonts w:ascii="Times New Roman" w:hAnsi="Times New Roman"/>
                <w:b w:val="0"/>
                <w:sz w:val="20"/>
              </w:rPr>
            </w:pPr>
            <w:r>
              <w:rPr>
                <w:rFonts w:ascii="Times New Roman" w:hAnsi="Times New Roman"/>
                <w:b w:val="0"/>
                <w:sz w:val="20"/>
              </w:rPr>
              <w:t>Keith Sappenfield</w:t>
            </w:r>
          </w:p>
        </w:tc>
        <w:tc>
          <w:tcPr>
            <w:tcW w:w="7020" w:type="dxa"/>
          </w:tcPr>
          <w:p>
            <w:pPr>
              <w:pStyle w:val="Title"/>
              <w:jc w:val="left"/>
              <w:rPr>
                <w:rFonts w:ascii="Times New Roman" w:hAnsi="Times New Roman"/>
                <w:b w:val="0"/>
                <w:sz w:val="20"/>
              </w:rPr>
            </w:pPr>
            <w:proofErr w:type="spellStart"/>
            <w:r>
              <w:rPr>
                <w:rFonts w:ascii="Times New Roman" w:hAnsi="Times New Roman"/>
                <w:b w:val="0"/>
                <w:sz w:val="20"/>
              </w:rPr>
              <w:t>Encana</w:t>
            </w:r>
            <w:proofErr w:type="spellEnd"/>
            <w:r>
              <w:rPr>
                <w:rFonts w:ascii="Times New Roman" w:hAnsi="Times New Roman"/>
                <w:b w:val="0"/>
                <w:sz w:val="20"/>
              </w:rPr>
              <w:t xml:space="preserve"> Oil &amp; Gas (USA), Inc.</w:t>
            </w:r>
          </w:p>
        </w:tc>
      </w:tr>
      <w:tr>
        <w:tc>
          <w:tcPr>
            <w:tcW w:w="2988" w:type="dxa"/>
          </w:tcPr>
          <w:p>
            <w:pPr>
              <w:pStyle w:val="Title"/>
              <w:jc w:val="left"/>
              <w:rPr>
                <w:rFonts w:ascii="Times New Roman" w:hAnsi="Times New Roman"/>
                <w:b w:val="0"/>
                <w:sz w:val="20"/>
              </w:rPr>
            </w:pPr>
            <w:r>
              <w:rPr>
                <w:rFonts w:ascii="Times New Roman" w:hAnsi="Times New Roman"/>
                <w:b w:val="0"/>
                <w:sz w:val="20"/>
              </w:rPr>
              <w:t>Pam Silberstein</w:t>
            </w:r>
          </w:p>
        </w:tc>
        <w:tc>
          <w:tcPr>
            <w:tcW w:w="7020" w:type="dxa"/>
          </w:tcPr>
          <w:p>
            <w:pPr>
              <w:pStyle w:val="Title"/>
              <w:jc w:val="left"/>
              <w:rPr>
                <w:rFonts w:ascii="Times New Roman" w:hAnsi="Times New Roman"/>
                <w:b w:val="0"/>
                <w:sz w:val="20"/>
              </w:rPr>
            </w:pPr>
            <w:r>
              <w:rPr>
                <w:rFonts w:ascii="Times New Roman" w:hAnsi="Times New Roman"/>
                <w:b w:val="0"/>
                <w:sz w:val="20"/>
              </w:rPr>
              <w:t>FERC</w:t>
            </w:r>
          </w:p>
        </w:tc>
      </w:tr>
      <w:tr>
        <w:tc>
          <w:tcPr>
            <w:tcW w:w="2988" w:type="dxa"/>
          </w:tcPr>
          <w:p>
            <w:pPr>
              <w:pStyle w:val="Title"/>
              <w:jc w:val="left"/>
              <w:rPr>
                <w:rFonts w:ascii="Times New Roman" w:hAnsi="Times New Roman"/>
                <w:b w:val="0"/>
                <w:sz w:val="20"/>
              </w:rPr>
            </w:pPr>
            <w:r>
              <w:rPr>
                <w:rFonts w:ascii="Times New Roman" w:hAnsi="Times New Roman"/>
                <w:b w:val="0"/>
                <w:sz w:val="20"/>
              </w:rPr>
              <w:lastRenderedPageBreak/>
              <w:t>Commissioner Timothy Simon</w:t>
            </w:r>
          </w:p>
        </w:tc>
        <w:tc>
          <w:tcPr>
            <w:tcW w:w="7020" w:type="dxa"/>
          </w:tcPr>
          <w:p>
            <w:pPr>
              <w:pStyle w:val="Title"/>
              <w:jc w:val="left"/>
              <w:rPr>
                <w:rFonts w:ascii="Times New Roman" w:hAnsi="Times New Roman"/>
                <w:b w:val="0"/>
                <w:sz w:val="20"/>
              </w:rPr>
            </w:pPr>
            <w:r>
              <w:rPr>
                <w:rFonts w:ascii="Times New Roman" w:hAnsi="Times New Roman"/>
                <w:b w:val="0"/>
                <w:sz w:val="20"/>
              </w:rPr>
              <w:t>California Public Utility Commission</w:t>
            </w:r>
          </w:p>
        </w:tc>
      </w:tr>
      <w:tr>
        <w:tc>
          <w:tcPr>
            <w:tcW w:w="2988" w:type="dxa"/>
          </w:tcPr>
          <w:p>
            <w:pPr>
              <w:pStyle w:val="Title"/>
              <w:jc w:val="left"/>
              <w:rPr>
                <w:rFonts w:ascii="Times New Roman" w:hAnsi="Times New Roman"/>
                <w:b w:val="0"/>
                <w:sz w:val="20"/>
              </w:rPr>
            </w:pPr>
            <w:r>
              <w:rPr>
                <w:rFonts w:ascii="Times New Roman" w:hAnsi="Times New Roman"/>
                <w:b w:val="0"/>
                <w:sz w:val="20"/>
              </w:rPr>
              <w:t>Rick Smead</w:t>
            </w:r>
          </w:p>
        </w:tc>
        <w:tc>
          <w:tcPr>
            <w:tcW w:w="7020" w:type="dxa"/>
          </w:tcPr>
          <w:p>
            <w:pPr>
              <w:pStyle w:val="Title"/>
              <w:jc w:val="left"/>
              <w:rPr>
                <w:rFonts w:ascii="Times New Roman" w:hAnsi="Times New Roman"/>
                <w:b w:val="0"/>
                <w:sz w:val="20"/>
              </w:rPr>
            </w:pPr>
            <w:r>
              <w:rPr>
                <w:rFonts w:ascii="Times New Roman" w:hAnsi="Times New Roman"/>
                <w:b w:val="0"/>
                <w:sz w:val="20"/>
              </w:rPr>
              <w:t>Navigant Consulting, Inc.</w:t>
            </w:r>
          </w:p>
        </w:tc>
      </w:tr>
      <w:tr>
        <w:tc>
          <w:tcPr>
            <w:tcW w:w="2988" w:type="dxa"/>
          </w:tcPr>
          <w:p>
            <w:pPr>
              <w:pStyle w:val="Title"/>
              <w:jc w:val="left"/>
              <w:rPr>
                <w:rFonts w:ascii="Times New Roman" w:hAnsi="Times New Roman"/>
                <w:b w:val="0"/>
                <w:sz w:val="20"/>
              </w:rPr>
            </w:pPr>
            <w:r>
              <w:rPr>
                <w:rFonts w:ascii="Times New Roman" w:hAnsi="Times New Roman"/>
                <w:b w:val="0"/>
                <w:sz w:val="20"/>
              </w:rPr>
              <w:t>Terence (Terry) Thorn</w:t>
            </w:r>
          </w:p>
        </w:tc>
        <w:tc>
          <w:tcPr>
            <w:tcW w:w="7020" w:type="dxa"/>
          </w:tcPr>
          <w:p>
            <w:pPr>
              <w:pStyle w:val="Title"/>
              <w:jc w:val="left"/>
              <w:rPr>
                <w:rFonts w:ascii="Times New Roman" w:hAnsi="Times New Roman"/>
                <w:b w:val="0"/>
                <w:sz w:val="20"/>
              </w:rPr>
            </w:pPr>
            <w:r>
              <w:rPr>
                <w:rFonts w:ascii="Times New Roman" w:hAnsi="Times New Roman"/>
                <w:b w:val="0"/>
                <w:sz w:val="20"/>
              </w:rPr>
              <w:t>KEMA Gas Consulting Services</w:t>
            </w:r>
          </w:p>
        </w:tc>
      </w:tr>
      <w:tr>
        <w:tc>
          <w:tcPr>
            <w:tcW w:w="2988" w:type="dxa"/>
          </w:tcPr>
          <w:p>
            <w:pPr>
              <w:pStyle w:val="Title"/>
              <w:jc w:val="left"/>
              <w:rPr>
                <w:rFonts w:ascii="Times New Roman" w:hAnsi="Times New Roman"/>
                <w:sz w:val="20"/>
              </w:rPr>
            </w:pPr>
            <w:r>
              <w:rPr>
                <w:rFonts w:ascii="Times New Roman" w:hAnsi="Times New Roman"/>
                <w:sz w:val="20"/>
              </w:rPr>
              <w:t xml:space="preserve">Sue Tierney </w:t>
            </w:r>
            <w:r>
              <w:rPr>
                <w:rFonts w:ascii="Times New Roman" w:hAnsi="Times New Roman"/>
                <w:i/>
                <w:sz w:val="20"/>
              </w:rPr>
              <w:t>(Co-Chair)</w:t>
            </w:r>
          </w:p>
        </w:tc>
        <w:tc>
          <w:tcPr>
            <w:tcW w:w="7020" w:type="dxa"/>
          </w:tcPr>
          <w:p>
            <w:pPr>
              <w:pStyle w:val="Title"/>
              <w:jc w:val="left"/>
              <w:rPr>
                <w:rFonts w:ascii="Times New Roman" w:hAnsi="Times New Roman"/>
                <w:b w:val="0"/>
                <w:sz w:val="20"/>
              </w:rPr>
            </w:pPr>
            <w:r>
              <w:rPr>
                <w:rFonts w:ascii="Times New Roman" w:hAnsi="Times New Roman"/>
                <w:b w:val="0"/>
                <w:sz w:val="20"/>
              </w:rPr>
              <w:t>Analysis Group, Inc.</w:t>
            </w:r>
          </w:p>
        </w:tc>
      </w:tr>
      <w:tr>
        <w:tc>
          <w:tcPr>
            <w:tcW w:w="2988" w:type="dxa"/>
            <w:tcBorders>
              <w:bottom w:val="single" w:sz="4" w:space="0" w:color="auto"/>
            </w:tcBorders>
          </w:tcPr>
          <w:p>
            <w:pPr>
              <w:pStyle w:val="Title"/>
              <w:jc w:val="left"/>
              <w:rPr>
                <w:rFonts w:ascii="Times New Roman" w:hAnsi="Times New Roman"/>
                <w:b w:val="0"/>
                <w:sz w:val="20"/>
              </w:rPr>
            </w:pPr>
            <w:r>
              <w:rPr>
                <w:rFonts w:ascii="Times New Roman" w:hAnsi="Times New Roman"/>
                <w:b w:val="0"/>
                <w:sz w:val="20"/>
              </w:rPr>
              <w:t>Kenneth L. Yeasting</w:t>
            </w:r>
          </w:p>
        </w:tc>
        <w:tc>
          <w:tcPr>
            <w:tcW w:w="7020" w:type="dxa"/>
            <w:tcBorders>
              <w:bottom w:val="single" w:sz="4" w:space="0" w:color="auto"/>
            </w:tcBorders>
          </w:tcPr>
          <w:p>
            <w:pPr>
              <w:pStyle w:val="Title"/>
              <w:jc w:val="left"/>
              <w:rPr>
                <w:rFonts w:ascii="Times New Roman" w:hAnsi="Times New Roman"/>
                <w:b w:val="0"/>
                <w:sz w:val="20"/>
              </w:rPr>
            </w:pPr>
            <w:r>
              <w:rPr>
                <w:rFonts w:ascii="Times New Roman" w:hAnsi="Times New Roman"/>
                <w:b w:val="0"/>
                <w:sz w:val="20"/>
              </w:rPr>
              <w:t>Cambridge Energy Research Associates</w:t>
            </w:r>
          </w:p>
        </w:tc>
      </w:tr>
    </w:tbl>
    <w:p>
      <w:pPr>
        <w:spacing w:before="240"/>
        <w:jc w:val="center"/>
        <w:rPr>
          <w:bCs/>
        </w:rPr>
      </w:pPr>
    </w:p>
    <w:p>
      <w:pPr>
        <w:rPr>
          <w:bCs/>
        </w:rPr>
        <w:sectPr>
          <w:headerReference w:type="even" r:id="rId42"/>
          <w:headerReference w:type="default" r:id="rId43"/>
          <w:headerReference w:type="first" r:id="rId44"/>
          <w:pgSz w:w="12240" w:h="15840" w:code="1"/>
          <w:pgMar w:top="720" w:right="1267" w:bottom="720" w:left="1166" w:header="720" w:footer="720" w:gutter="0"/>
          <w:cols w:space="720"/>
          <w:docGrid w:linePitch="272"/>
        </w:sectPr>
      </w:pPr>
    </w:p>
    <w:p>
      <w:pPr>
        <w:spacing w:before="12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686"/>
        <w:gridCol w:w="686"/>
        <w:gridCol w:w="2850"/>
        <w:gridCol w:w="550"/>
        <w:gridCol w:w="694"/>
        <w:gridCol w:w="8464"/>
      </w:tblGrid>
      <w:tr>
        <w:trPr>
          <w:tblHeader/>
        </w:trPr>
        <w:tc>
          <w:tcPr>
            <w:tcW w:w="14616" w:type="dxa"/>
            <w:gridSpan w:val="7"/>
            <w:tcBorders>
              <w:top w:val="nil"/>
              <w:left w:val="nil"/>
              <w:right w:val="nil"/>
            </w:tcBorders>
          </w:tcPr>
          <w:p>
            <w:pPr>
              <w:pStyle w:val="Title"/>
              <w:spacing w:before="120" w:after="120"/>
              <w:rPr>
                <w:rFonts w:ascii="Times New Roman" w:hAnsi="Times New Roman"/>
                <w:smallCaps/>
                <w:sz w:val="20"/>
              </w:rPr>
            </w:pPr>
            <w:r>
              <w:rPr>
                <w:rFonts w:ascii="Times New Roman" w:hAnsi="Times New Roman"/>
                <w:smallCaps/>
                <w:sz w:val="20"/>
              </w:rPr>
              <w:t>Matrix of Issues</w:t>
            </w:r>
          </w:p>
          <w:p>
            <w:pPr>
              <w:pStyle w:val="Title"/>
              <w:spacing w:before="120" w:after="120"/>
              <w:rPr>
                <w:rFonts w:ascii="Times New Roman" w:hAnsi="Times New Roman"/>
                <w:smallCaps/>
                <w:sz w:val="20"/>
              </w:rPr>
            </w:pPr>
            <w:r>
              <w:rPr>
                <w:rFonts w:ascii="Times New Roman" w:hAnsi="Times New Roman"/>
                <w:smallCaps/>
                <w:sz w:val="20"/>
              </w:rPr>
              <w:t>NAESB Gas-Electric Harmonization Committee Issues Identified in Cross Reference Documents</w:t>
            </w:r>
          </w:p>
        </w:tc>
      </w:tr>
      <w:tr>
        <w:trPr>
          <w:trHeight w:val="165"/>
          <w:tblHeader/>
        </w:trPr>
        <w:tc>
          <w:tcPr>
            <w:tcW w:w="2058" w:type="dxa"/>
            <w:gridSpan w:val="3"/>
            <w:tcBorders>
              <w:left w:val="nil"/>
              <w:bottom w:val="nil"/>
              <w:right w:val="nil"/>
            </w:tcBorders>
          </w:tcPr>
          <w:p>
            <w:pPr>
              <w:pStyle w:val="Title"/>
              <w:rPr>
                <w:rFonts w:ascii="Times New Roman" w:hAnsi="Times New Roman"/>
                <w:sz w:val="20"/>
              </w:rPr>
            </w:pPr>
            <w:r>
              <w:rPr>
                <w:rFonts w:ascii="Times New Roman" w:hAnsi="Times New Roman"/>
                <w:sz w:val="20"/>
              </w:rPr>
              <w:t>Team</w:t>
            </w:r>
            <w:r>
              <w:rPr>
                <w:rStyle w:val="FootnoteReference"/>
                <w:rFonts w:ascii="Times New Roman" w:hAnsi="Times New Roman"/>
                <w:sz w:val="20"/>
              </w:rPr>
              <w:footnoteReference w:id="3"/>
            </w:r>
          </w:p>
        </w:tc>
        <w:tc>
          <w:tcPr>
            <w:tcW w:w="2850" w:type="dxa"/>
            <w:vMerge w:val="restart"/>
            <w:tcBorders>
              <w:left w:val="nil"/>
              <w:right w:val="nil"/>
            </w:tcBorders>
          </w:tcPr>
          <w:p>
            <w:pPr>
              <w:pStyle w:val="Title"/>
              <w:rPr>
                <w:rFonts w:ascii="Times New Roman" w:hAnsi="Times New Roman"/>
                <w:sz w:val="20"/>
              </w:rPr>
            </w:pPr>
            <w:r>
              <w:rPr>
                <w:rFonts w:ascii="Times New Roman" w:hAnsi="Times New Roman"/>
                <w:sz w:val="20"/>
              </w:rPr>
              <w:t>Issue</w:t>
            </w:r>
          </w:p>
        </w:tc>
        <w:tc>
          <w:tcPr>
            <w:tcW w:w="550" w:type="dxa"/>
            <w:vMerge w:val="restart"/>
            <w:tcBorders>
              <w:left w:val="nil"/>
              <w:right w:val="nil"/>
            </w:tcBorders>
          </w:tcPr>
          <w:p>
            <w:pPr>
              <w:pStyle w:val="Title"/>
              <w:rPr>
                <w:rFonts w:ascii="Times New Roman" w:hAnsi="Times New Roman"/>
                <w:sz w:val="20"/>
              </w:rPr>
            </w:pPr>
            <w:r>
              <w:rPr>
                <w:rFonts w:ascii="Times New Roman" w:hAnsi="Times New Roman"/>
                <w:sz w:val="20"/>
              </w:rPr>
              <w:t>R #</w:t>
            </w:r>
          </w:p>
        </w:tc>
        <w:tc>
          <w:tcPr>
            <w:tcW w:w="694" w:type="dxa"/>
            <w:vMerge w:val="restart"/>
            <w:tcBorders>
              <w:left w:val="nil"/>
              <w:right w:val="nil"/>
            </w:tcBorders>
          </w:tcPr>
          <w:p>
            <w:pPr>
              <w:pStyle w:val="Title"/>
              <w:rPr>
                <w:rFonts w:ascii="Times New Roman" w:hAnsi="Times New Roman"/>
                <w:sz w:val="20"/>
              </w:rPr>
            </w:pPr>
            <w:r>
              <w:rPr>
                <w:rFonts w:ascii="Times New Roman" w:hAnsi="Times New Roman"/>
                <w:sz w:val="20"/>
              </w:rPr>
              <w:t>Page</w:t>
            </w:r>
          </w:p>
        </w:tc>
        <w:tc>
          <w:tcPr>
            <w:tcW w:w="8464" w:type="dxa"/>
            <w:vMerge w:val="restart"/>
            <w:tcBorders>
              <w:left w:val="nil"/>
              <w:right w:val="nil"/>
            </w:tcBorders>
          </w:tcPr>
          <w:p>
            <w:pPr>
              <w:pStyle w:val="Title"/>
              <w:rPr>
                <w:rFonts w:ascii="Times New Roman" w:hAnsi="Times New Roman"/>
                <w:sz w:val="20"/>
              </w:rPr>
            </w:pPr>
            <w:r>
              <w:rPr>
                <w:rFonts w:ascii="Times New Roman" w:hAnsi="Times New Roman"/>
                <w:sz w:val="20"/>
              </w:rPr>
              <w:t>Selected Text</w:t>
            </w:r>
            <w:r>
              <w:rPr>
                <w:rStyle w:val="FootnoteReference"/>
                <w:rFonts w:ascii="Times New Roman" w:hAnsi="Times New Roman"/>
                <w:sz w:val="20"/>
              </w:rPr>
              <w:footnoteReference w:id="4"/>
            </w:r>
          </w:p>
        </w:tc>
      </w:tr>
      <w:tr>
        <w:trPr>
          <w:trHeight w:val="165"/>
          <w:tblHeader/>
        </w:trPr>
        <w:tc>
          <w:tcPr>
            <w:tcW w:w="686" w:type="dxa"/>
            <w:tcBorders>
              <w:top w:val="nil"/>
              <w:left w:val="nil"/>
              <w:right w:val="nil"/>
            </w:tcBorders>
          </w:tcPr>
          <w:p>
            <w:pPr>
              <w:pStyle w:val="Title"/>
              <w:rPr>
                <w:rFonts w:ascii="Times New Roman" w:hAnsi="Times New Roman"/>
                <w:sz w:val="20"/>
              </w:rPr>
            </w:pPr>
            <w:r>
              <w:rPr>
                <w:rFonts w:ascii="Times New Roman" w:hAnsi="Times New Roman"/>
                <w:sz w:val="20"/>
              </w:rPr>
              <w:t>1</w:t>
            </w:r>
          </w:p>
        </w:tc>
        <w:tc>
          <w:tcPr>
            <w:tcW w:w="686" w:type="dxa"/>
            <w:tcBorders>
              <w:top w:val="nil"/>
              <w:left w:val="nil"/>
              <w:right w:val="nil"/>
            </w:tcBorders>
          </w:tcPr>
          <w:p>
            <w:pPr>
              <w:pStyle w:val="Title"/>
              <w:rPr>
                <w:rFonts w:ascii="Times New Roman" w:hAnsi="Times New Roman"/>
                <w:sz w:val="20"/>
              </w:rPr>
            </w:pPr>
            <w:r>
              <w:rPr>
                <w:rFonts w:ascii="Times New Roman" w:hAnsi="Times New Roman"/>
                <w:sz w:val="20"/>
              </w:rPr>
              <w:t>2</w:t>
            </w:r>
          </w:p>
        </w:tc>
        <w:tc>
          <w:tcPr>
            <w:tcW w:w="686" w:type="dxa"/>
            <w:tcBorders>
              <w:top w:val="nil"/>
              <w:left w:val="nil"/>
              <w:right w:val="nil"/>
            </w:tcBorders>
          </w:tcPr>
          <w:p>
            <w:pPr>
              <w:pStyle w:val="Title"/>
              <w:rPr>
                <w:rFonts w:ascii="Times New Roman" w:hAnsi="Times New Roman"/>
                <w:sz w:val="20"/>
              </w:rPr>
            </w:pPr>
            <w:r>
              <w:rPr>
                <w:rFonts w:ascii="Times New Roman" w:hAnsi="Times New Roman"/>
                <w:sz w:val="20"/>
              </w:rPr>
              <w:t>3</w:t>
            </w:r>
          </w:p>
        </w:tc>
        <w:tc>
          <w:tcPr>
            <w:tcW w:w="2850" w:type="dxa"/>
            <w:vMerge/>
            <w:tcBorders>
              <w:left w:val="nil"/>
              <w:right w:val="nil"/>
            </w:tcBorders>
          </w:tcPr>
          <w:p>
            <w:pPr>
              <w:pStyle w:val="Title"/>
              <w:rPr>
                <w:rFonts w:ascii="Times New Roman" w:hAnsi="Times New Roman"/>
                <w:sz w:val="20"/>
              </w:rPr>
            </w:pPr>
          </w:p>
        </w:tc>
        <w:tc>
          <w:tcPr>
            <w:tcW w:w="550" w:type="dxa"/>
            <w:vMerge/>
            <w:tcBorders>
              <w:left w:val="nil"/>
              <w:right w:val="nil"/>
            </w:tcBorders>
          </w:tcPr>
          <w:p>
            <w:pPr>
              <w:pStyle w:val="Title"/>
              <w:rPr>
                <w:rFonts w:ascii="Times New Roman" w:hAnsi="Times New Roman"/>
                <w:sz w:val="20"/>
              </w:rPr>
            </w:pPr>
          </w:p>
        </w:tc>
        <w:tc>
          <w:tcPr>
            <w:tcW w:w="694" w:type="dxa"/>
            <w:vMerge/>
            <w:tcBorders>
              <w:left w:val="nil"/>
              <w:right w:val="nil"/>
            </w:tcBorders>
          </w:tcPr>
          <w:p>
            <w:pPr>
              <w:pStyle w:val="Title"/>
              <w:rPr>
                <w:rFonts w:ascii="Times New Roman" w:hAnsi="Times New Roman"/>
                <w:sz w:val="20"/>
              </w:rPr>
            </w:pPr>
          </w:p>
        </w:tc>
        <w:tc>
          <w:tcPr>
            <w:tcW w:w="8464" w:type="dxa"/>
            <w:vMerge/>
            <w:tcBorders>
              <w:left w:val="nil"/>
              <w:right w:val="nil"/>
            </w:tcBorders>
          </w:tcPr>
          <w:p>
            <w:pPr>
              <w:pStyle w:val="Title"/>
              <w:rPr>
                <w:rFonts w:ascii="Times New Roman" w:hAnsi="Times New Roman"/>
                <w:sz w:val="20"/>
              </w:rPr>
            </w:pPr>
          </w:p>
        </w:tc>
      </w:tr>
      <w:tr>
        <w:tc>
          <w:tcPr>
            <w:tcW w:w="686" w:type="dxa"/>
            <w:tcBorders>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left w:val="nil"/>
              <w:bottom w:val="nil"/>
              <w:right w:val="nil"/>
            </w:tcBorders>
          </w:tcPr>
          <w:p>
            <w:pPr>
              <w:pStyle w:val="Title"/>
              <w:rPr>
                <w:rFonts w:ascii="Times New Roman" w:hAnsi="Times New Roman"/>
                <w:b w:val="0"/>
                <w:sz w:val="20"/>
              </w:rPr>
            </w:pPr>
          </w:p>
        </w:tc>
        <w:tc>
          <w:tcPr>
            <w:tcW w:w="2850" w:type="dxa"/>
            <w:tcBorders>
              <w:left w:val="nil"/>
              <w:bottom w:val="nil"/>
              <w:right w:val="nil"/>
            </w:tcBorders>
          </w:tcPr>
          <w:p>
            <w:pPr>
              <w:pStyle w:val="Title"/>
              <w:jc w:val="left"/>
              <w:rPr>
                <w:rFonts w:ascii="Times New Roman" w:hAnsi="Times New Roman"/>
                <w:b w:val="0"/>
                <w:sz w:val="20"/>
              </w:rPr>
            </w:pPr>
            <w:r>
              <w:rPr>
                <w:rFonts w:ascii="Times New Roman" w:hAnsi="Times New Roman"/>
                <w:b w:val="0"/>
                <w:sz w:val="20"/>
              </w:rPr>
              <w:t>Variable Energy Resources</w:t>
            </w:r>
          </w:p>
        </w:tc>
        <w:tc>
          <w:tcPr>
            <w:tcW w:w="550" w:type="dxa"/>
            <w:tcBorders>
              <w:left w:val="nil"/>
              <w:bottom w:val="nil"/>
              <w:right w:val="nil"/>
            </w:tcBorders>
          </w:tcPr>
          <w:p>
            <w:pPr>
              <w:pStyle w:val="Title"/>
              <w:jc w:val="left"/>
              <w:rPr>
                <w:rFonts w:ascii="Times New Roman" w:hAnsi="Times New Roman"/>
                <w:b w:val="0"/>
                <w:sz w:val="20"/>
              </w:rPr>
            </w:pPr>
            <w:r>
              <w:rPr>
                <w:rFonts w:ascii="Times New Roman" w:hAnsi="Times New Roman"/>
                <w:b w:val="0"/>
                <w:sz w:val="20"/>
              </w:rPr>
              <w:t>1</w:t>
            </w:r>
          </w:p>
        </w:tc>
        <w:tc>
          <w:tcPr>
            <w:tcW w:w="694" w:type="dxa"/>
            <w:tcBorders>
              <w:left w:val="nil"/>
              <w:bottom w:val="nil"/>
              <w:right w:val="nil"/>
            </w:tcBorders>
          </w:tcPr>
          <w:p>
            <w:pPr>
              <w:pStyle w:val="Title"/>
              <w:jc w:val="left"/>
              <w:rPr>
                <w:rFonts w:ascii="Times New Roman" w:hAnsi="Times New Roman"/>
                <w:b w:val="0"/>
                <w:sz w:val="20"/>
              </w:rPr>
            </w:pPr>
            <w:r>
              <w:rPr>
                <w:rFonts w:ascii="Times New Roman" w:hAnsi="Times New Roman"/>
                <w:b w:val="0"/>
                <w:sz w:val="20"/>
              </w:rPr>
              <w:t>53</w:t>
            </w:r>
          </w:p>
        </w:tc>
        <w:tc>
          <w:tcPr>
            <w:tcW w:w="8464" w:type="dxa"/>
            <w:tcBorders>
              <w:left w:val="nil"/>
              <w:bottom w:val="nil"/>
              <w:right w:val="nil"/>
            </w:tcBorders>
          </w:tcPr>
          <w:p>
            <w:pPr>
              <w:pStyle w:val="Title"/>
              <w:jc w:val="left"/>
              <w:rPr>
                <w:rFonts w:ascii="Times New Roman" w:hAnsi="Times New Roman"/>
                <w:b w:val="0"/>
                <w:sz w:val="20"/>
              </w:rPr>
            </w:pPr>
            <w:r>
              <w:rPr>
                <w:rFonts w:ascii="Times New Roman" w:hAnsi="Times New Roman"/>
                <w:b w:val="0"/>
                <w:sz w:val="20"/>
              </w:rPr>
              <w:t>Section 3.4 discusses the critical role of interconnection standards in assuring that reliability is maintained as the penetration of VERs increases. These standards, for both VERs and conventional generation technologies, will need to adapt to the increasing role of VERs. It is particularly important that they be structured in response to anticipated rather than existing conditions.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Coordination with Processing Plants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2</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60</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 xml:space="preserve">Every year in the U.S., 530 natural gas processing plants process around 15 </w:t>
            </w:r>
            <w:proofErr w:type="spellStart"/>
            <w:r>
              <w:rPr>
                <w:rFonts w:ascii="Times New Roman" w:hAnsi="Times New Roman"/>
                <w:b w:val="0"/>
                <w:sz w:val="20"/>
              </w:rPr>
              <w:t>Tcf</w:t>
            </w:r>
            <w:proofErr w:type="spellEnd"/>
            <w:r>
              <w:rPr>
                <w:rFonts w:ascii="Times New Roman" w:hAnsi="Times New Roman"/>
                <w:b w:val="0"/>
                <w:sz w:val="20"/>
              </w:rPr>
              <w:t xml:space="preserve"> of raw natural gas. Removing impurities such as sulfur, CO2 and water to produce pipeline quality gas2 is the primary role of these processing facilities. Natural gas can also contain heavier hydrocarbons or NGLs. This “wet gas” can be processed to produce value-added products, including butane, propane, and ethane, which can enhance the economics of production. According to IEA, the average liquids ratio of natural gas is 19.2%.  Currently, around 82% of gas processing capacity is in six states: Louisiana, Texas, Wyoming, Kansas, New Mexico and Oklahoma. As seen in Figure 5.2, there are wide swings in NGL production, which is a low-margin business, where production is closely tied to market conditions.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Interdependency</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2</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143</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A detailed analysis of the growing interdependencies of the natural gas and power generation infrastructures should be conducted. This should include analysis of the system impacts of increased use of natural gas for power generation and the degree to which this stresses the infrastructure or creates conditions where storage may be inadequate to meet power generation needs.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Transparency Reporting</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3</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200</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Transmission Operators, Balancing Authorities, and Generation Owner/Operators should consider developing mechanisms to verify that units that have fuel switching capabilities can periodically demonstrate those capabilities.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Communications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3</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210</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Balancing Authorities should improve communications during extreme cold weather events with Transmission Owner/Operators, Distribution Providers, and other market participants.</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Services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5</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72</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Ontario is the exception, having made a decision to replace its coal-fired generation with natural gas. It has worked over the last seven years to develop tariffs, services and rules to allow its electric generators greater flexibility. These innovative services were developed as a result of a proceeding conducted by the Ontario Energy Board known as the Natural Gas Electricity Interface Review (NGEIR). If the U.S. seriously intends to use natural gas as a bridge fuel until more renewables or CCS are available or if we simply require conversion of the coal-fired fleet to natural gas, the entire U.S. transmission and distribution system needs to look seriously at the approach used in Ontario.</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Day/Electric Day</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5</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72</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Issues include the fact that the “gas day” doesn’t match the “electricity day.” The gas day begins at 9:00 A.M. Central Clock Time (CCT). The gas industry nominates natural gas a day ahead using four nomination windows (except in Ontario where Union Gas allows 13 and TransCanada offers a service that allows 96 nomination windows per day).</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No Bump Rules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5</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72</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Some pipelines have “no-bump” rules. A no-bump rule means that nominations later in the gas day cannot “bump” earlier nominations, even if they were from a shipper with interruptible capacity. In other words, it prevents a firm shipper who does not nominate all of their firm capacity in the Timely nomination window from bumping the interruptible customer who nominated to use that available capacity in a subsequent period. It effectively means that a firm shipper who does not nominate to use all of their firm capacity when they submit a nomination in the first cycle of the day are not guaranteed access to it in the later nomination windows of the cycle.</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Nomination Timelines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5</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72</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The cycle’s initial gas nominations are due in the morning the day ahead of consumption, but the generators in competitively-dispatched electricity markets will only generally know how much gas the unit will need until they get dispatch orders, often in the afternoon of the day-ahead.</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Nomination Timelines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5</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73</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Union Gas, in Ontario, offers 13 nomination windows (9 additional plus the four shown below in Table 10) so that electric generators have more opportunities to match their usage with what they deliver into the system. TransCanada Pipelines Limited, also responding to the NGEIR, offers the ability to change nominations every 15 minutes. It does so only at delivery points in which load is connected to a single meter taking gas off the pipeline which it says is necessary in order for it to manage the system. Union Gas also offers specialized services that allow generators the ability to balance a few hours additional gas each day, for an additional fee.</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lastRenderedPageBreak/>
              <w:t>X</w:t>
            </w: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Variable Energy Resources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7</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5</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Policies, market rules, and technologies to enhance the contribution of gas generation as a quick-response balancing resource on power systems that will see an increasing penetration of variable renewable sources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Transparency Reporting</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8</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2</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Vital information needed for the reliable operation of the bulk power system should be shared with system operators from both industries—increased transparency in both markets is needed. Examples of this include the sharing of maintenance issues (e.g., the pipeline and the generators), new facilities perceived impact, load levels, dispatch principles and general patterns or forecasts for both industries.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Communications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8</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2</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Communications between two industries are hampered by the incompatibility between the traditional gas day, traditional electric day, and the market day (in market areas), which increases the difficulty of the gas industry providing the needed services to its largest consumer. Contracting practices also make it difficult to plan the flexibility needed for both industries’ reliable operation. A coordinated approach for engaging the two industries to come together and develop compromising solutions to address communication strategies, operational changes, and tariff changes is critical. The two industries must reconcile the divergent views such as firm contracting needed to build new pipeline capacity and how to secure day-to-day delivery of gas.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Communications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8</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2</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Vulnerabilities should be identified. Mitigating strategies should be incorporated into the planning and operation procedures for both industries. The electric industry should evaluate which generators may be most susceptible to pipeline disruptions (e.g., number of pipelines serving the generator, proximity to gas storage, and location relative to pipeline). The gas pipeline industry should consider electric system generation forecasts during the planning process. For operations, the sharing of real-time system information by both industries increases the ability for each to make informed decisions and reduce overall risk.</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Communications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8</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96</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 xml:space="preserve">A reoccurring theme expressed by the gas industry participants are concerns about communications between pipeline operators and entities (i.e., Reliability Coordinators, Balancing Authorities, ISOs, and RTOs) other than the pipeline’s contractual customers. Thus, the pipeline will communicate with the LDC serving a generator, or will communicate with the generator itself, but will not freely communicate with a Reliability Coordinator. This is due to the confidentiality of commercially sensitive business information and regulatory restrictions. The electric industry’s concept of a </w:t>
            </w:r>
            <w:r>
              <w:rPr>
                <w:rFonts w:ascii="Times New Roman" w:hAnsi="Times New Roman"/>
                <w:b w:val="0"/>
                <w:sz w:val="20"/>
              </w:rPr>
              <w:lastRenderedPageBreak/>
              <w:t>Reliability Coordinator does not have a parallel entity in the pipeline industry. Information in the public domain, however, is generally shared between the pipeline operator and the independent electric operator.  This proprietary status on most operating information significantly increases the challenge of future coordination between the natural gas and power industries. However, this is not to say that this challenge cannot be overcome. Vital information needed for the reliable operation of the bulk power system should be shared with system operators from both industries. Examples of this include the sharing of maintenance issues (e.g., the pipeline and the generators), new facilities perceived impact, load levels, dispatch principles and general patterns or forecasts for both industries.</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Day/Electric Day</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8</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96</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In addition to the above, communications between two industries are hampered by the incompatibility between the traditional gas day, traditional electric day, and the market day (in market areas), which increases the difficulty of the gas industry providing the needed services to its largest consumer. The issues are further compounded by several different electric markets across several time zones.</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No Bump Rule</w:t>
            </w:r>
            <w:r>
              <w:rPr>
                <w:rFonts w:ascii="Times New Roman" w:hAnsi="Times New Roman"/>
                <w:b w:val="0"/>
                <w:sz w:val="20"/>
              </w:rPr>
              <w:br/>
              <w:t xml:space="preserve">Gas Nomination Timelines </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8</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97</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These intraday adjustments have very precise schedules and protocols. In some cases, “bumping rules” exist where firm priority nominations can bump other firm nominations of a lower priority until the end of the evening nominations cycle. Further, firm nominations can bump interruptible nominations until the end of the Intraday 1 cycle</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Day/Electric Day</w:t>
            </w:r>
            <w:r>
              <w:rPr>
                <w:rFonts w:ascii="Times New Roman" w:hAnsi="Times New Roman"/>
                <w:b w:val="0"/>
                <w:sz w:val="20"/>
              </w:rPr>
              <w:br/>
              <w:t>Gas Nomination Timelines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8</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97</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For the power industry, the traditional planning day, or ‘electric day’, is from midnight to midnight. During this period electric utilities submit information to the power pool (or ISO/RTO, etc.), which then prepares projections of anticipated electric load for the entire power pool for the next day (i.e., unit commitment). In addition, the power pool selects which electric power plants should be used to efficiently meet the load projection for the next day (i.e., economic dispatch). As a result, power pool, utility, or ISO/RTO daily planning involves first determining the dispatch order of plants and second the amount of fuel that is likely to be consumed (in a regulated market area).</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Day/Electric Day</w:t>
            </w:r>
            <w:r>
              <w:rPr>
                <w:rFonts w:ascii="Times New Roman" w:hAnsi="Times New Roman"/>
                <w:b w:val="0"/>
                <w:sz w:val="20"/>
              </w:rPr>
              <w:br/>
              <w:t>Gas Nomination Timelines</w:t>
            </w:r>
            <w:r>
              <w:rPr>
                <w:rFonts w:ascii="Times New Roman" w:hAnsi="Times New Roman"/>
                <w:b w:val="0"/>
                <w:sz w:val="20"/>
              </w:rPr>
              <w:br/>
              <w:t>Electricity Utility Nominations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8</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98</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 xml:space="preserve">The net result of this gap is that electric utility nominations, with their relatively large gas loads, are based upon estimates by the individual-fuel planners of each electric utility and not those actually contained in the power pool’s final daily plan, as shown in Figure 7-9. This can result in significant differences between nominations and actual gas requirements—missing nomination under the timely cycle can have various disadvantages and/or penalties. Furthermore, sudden weather events can </w:t>
            </w:r>
            <w:r>
              <w:rPr>
                <w:rFonts w:ascii="Times New Roman" w:hAnsi="Times New Roman"/>
                <w:b w:val="0"/>
                <w:sz w:val="20"/>
              </w:rPr>
              <w:lastRenderedPageBreak/>
              <w:t>exacerbate these differences. When such differences occur pipelines may find it difficult to accommodate changes between nominations and actual load requirements. This can be accomplished by the early evening of the day-ahead (as shown in the lighter shade of blue), but as described in the next section, may be challenging. In addition, these differences often result in additional costs for the electric utilities, as they may be subject to number of imbalance penalties required under the pipeline tariffs.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lastRenderedPageBreak/>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Quality</w:t>
            </w:r>
          </w:p>
        </w:tc>
        <w:tc>
          <w:tcPr>
            <w:tcW w:w="550" w:type="dxa"/>
            <w:tcBorders>
              <w:top w:val="nil"/>
              <w:left w:val="nil"/>
              <w:bottom w:val="nil"/>
              <w:right w:val="nil"/>
            </w:tcBorders>
          </w:tcPr>
          <w:p>
            <w:pPr>
              <w:pStyle w:val="Title"/>
              <w:jc w:val="both"/>
              <w:rPr>
                <w:rFonts w:ascii="Times New Roman" w:hAnsi="Times New Roman"/>
                <w:b w:val="0"/>
                <w:sz w:val="20"/>
              </w:rPr>
            </w:pPr>
            <w:r>
              <w:rPr>
                <w:rFonts w:ascii="Times New Roman" w:hAnsi="Times New Roman"/>
                <w:b w:val="0"/>
                <w:sz w:val="20"/>
              </w:rPr>
              <w:t>9</w:t>
            </w:r>
          </w:p>
        </w:tc>
        <w:tc>
          <w:tcPr>
            <w:tcW w:w="694" w:type="dxa"/>
            <w:tcBorders>
              <w:top w:val="nil"/>
              <w:left w:val="nil"/>
              <w:bottom w:val="nil"/>
              <w:right w:val="nil"/>
            </w:tcBorders>
          </w:tcPr>
          <w:p>
            <w:pPr>
              <w:pStyle w:val="Title"/>
              <w:jc w:val="both"/>
              <w:rPr>
                <w:rFonts w:ascii="Times New Roman" w:hAnsi="Times New Roman"/>
                <w:b w:val="0"/>
                <w:sz w:val="20"/>
              </w:rPr>
            </w:pPr>
            <w:r>
              <w:rPr>
                <w:rFonts w:ascii="Times New Roman" w:hAnsi="Times New Roman"/>
                <w:b w:val="0"/>
                <w:sz w:val="20"/>
              </w:rPr>
              <w:t>8</w:t>
            </w:r>
          </w:p>
        </w:tc>
        <w:tc>
          <w:tcPr>
            <w:tcW w:w="8464" w:type="dxa"/>
            <w:tcBorders>
              <w:top w:val="nil"/>
              <w:left w:val="nil"/>
              <w:bottom w:val="nil"/>
              <w:right w:val="nil"/>
            </w:tcBorders>
          </w:tcPr>
          <w:p>
            <w:pPr>
              <w:pStyle w:val="Title"/>
              <w:jc w:val="both"/>
              <w:rPr>
                <w:rFonts w:ascii="Times New Roman" w:hAnsi="Times New Roman"/>
                <w:b w:val="0"/>
                <w:sz w:val="20"/>
              </w:rPr>
            </w:pPr>
            <w:r>
              <w:rPr>
                <w:rFonts w:ascii="Times New Roman" w:hAnsi="Times New Roman"/>
                <w:b w:val="0"/>
                <w:sz w:val="20"/>
              </w:rPr>
              <w:t>Modern combustion turbines have more stringent gas delivery requirements than older units. Higher required pressures and complex on-site gas cleanup and processing systems result in the potential for additional points of failure for the combustion turbine. Delivery pressures of 450 psig at the fuel skid are required for the most popular of the newer turbines. Consistent fuel quality is necessary for the generator to meet operational and environmental requirements. These newer, larger, combustion turbine/combined cycle units are less tolerant to variations in gas quality and pressure than older units. Some combustion turbines require the gas to be heated prior to burning (hot gas units), thereby significantly increasing the start-up time from 10 minutes to 45 minutes.</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Firm/Interruptible Gas Service</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9</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8</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Pipeline deliverability can impact electrical system reliability in several ways. A physical disruption to a pipeline, or to a compressor station, can interrupt the flow of gas or reduce pressure to multiple electric generating units. At times of peak loading on the gas pipeline system, interruptible customers may be curtailed so that the pipeline may fulfill its contractual obligations to firm customers. As noted, firm customers can contract up to 100 percent of the capacity in a pipeline, since pipelines do not build capacity to serve interruptible customers. Historically, pipelines have built capacity to meet a winter peak demand resulting in underutilized capacity in the summer months. Some electrical generators have made business decisions to purchase interruptible gas delivery service. Pipeline delivery service tariffs for firm service typically contain a fixed monthly charge for reserving capacity that is not recovered from the electric marketplace for the low capacity factor operation typically seen by combustion turbine generation in peaking service. Thus, it is economically infeasible for a peaking generator to make capacity reservation payments for firm service that it cannot recover from its sales of electricity. If such a generator served by interruptible transportation has no alternative source of fuel, then that generating capacity could be unavailable to the electric grid at peak times.</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Pipeline Reliability</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9</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8</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 xml:space="preserve">Electrical systems also have the ability to adversely impact pipeline reliability. The sudden loss of a </w:t>
            </w:r>
            <w:r>
              <w:rPr>
                <w:rFonts w:ascii="Times New Roman" w:hAnsi="Times New Roman"/>
                <w:b w:val="0"/>
                <w:sz w:val="20"/>
              </w:rPr>
              <w:lastRenderedPageBreak/>
              <w:t>large, non-gas-fired generator can cause numerous smaller, gas-fired combustion turbines to be started in a short period of time. This sudden demand may cause pipeline pressure drops that could reduce the quality of service to other pipeline customers, including generators. Electric transmission system disturbances may also interrupt service to electric motor-driven gas compressor stations.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lastRenderedPageBreak/>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Communications</w:t>
            </w:r>
            <w:r>
              <w:rPr>
                <w:rFonts w:ascii="Times New Roman" w:hAnsi="Times New Roman"/>
                <w:b w:val="0"/>
                <w:sz w:val="20"/>
              </w:rPr>
              <w:br/>
              <w:t>Confidentiality</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9</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9</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A reoccurring theme expressed by the gas industry participants in the GEITF was concern about communications between pipeline operators and entities other than the pipeline’s contractual customers. Thus, the pipeline will communicate with the local gas distribution company (LDC) serving a generator, or will communicate with the generator itself, but will not freely communicate with a regional reliability coordinator. This is due to the confidentiality of commercially sensitive business information and regulatory restrictions. The electric industry’s concept of a reliability coordinator does not have a parallel entity in the pipeline industry. The GEITF received a report from CAISO that it believes represents a good model for inter-industry communications. CAISO and the two major gas pipeline operators within its footprint have regular communications on the status of the electric systems and the pipeline systems. Seasonal meetings are held to prepare for the upcoming summer or winter peak seasons.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Formal Coordination</w:t>
            </w:r>
            <w:r>
              <w:rPr>
                <w:rFonts w:ascii="Times New Roman" w:hAnsi="Times New Roman"/>
                <w:b w:val="0"/>
                <w:sz w:val="20"/>
              </w:rPr>
              <w:br/>
              <w:t>Communication</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10</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39</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Some power generators have identified some terms and conditions of natural gas services that are inhibiting them from building and operating gas-fired generation plants. Conversely, some pipelines have stated that they are not being adequately compensated for providing service to gas fired generators that are backstopping intermittent renewables. Accordingly, federal and state regulators and industry leaders are calling for more formalized coordination between the electric and gas sectors.</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Firm/Interruptible Gas Service</w:t>
            </w:r>
            <w:r>
              <w:rPr>
                <w:rFonts w:ascii="Times New Roman" w:hAnsi="Times New Roman"/>
                <w:b w:val="0"/>
                <w:sz w:val="20"/>
              </w:rPr>
              <w:br/>
              <w:t>Gas Day/Electric Day</w:t>
            </w:r>
            <w:r>
              <w:rPr>
                <w:rFonts w:ascii="Times New Roman" w:hAnsi="Times New Roman"/>
                <w:b w:val="0"/>
                <w:sz w:val="20"/>
              </w:rPr>
              <w:br/>
              <w:t>Gas Nomination Timelines</w:t>
            </w:r>
            <w:r>
              <w:rPr>
                <w:rFonts w:ascii="Times New Roman" w:hAnsi="Times New Roman"/>
                <w:b w:val="0"/>
                <w:sz w:val="20"/>
              </w:rPr>
              <w:br/>
              <w:t>Electricity Utility Nominations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10</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39</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 xml:space="preserve">Both the natural gas pipeline network and the electric transmission grid operate under different complex systems of rules and regulations that have evolved independently over decades. For example, the natural gas industry uses a standardized definition of an operating day, but the power sector has multiple definitions of operating days. The scheduling rules and timelines for power generators (e.g., for day-ahead and real time markets) may not synchronize between electric control areas or with pipeline capacity nomination schedules or rights. Gas-fired generators not holding firm pipeline transportation frequently have to commit power to the regional electricity grid before they have the assurance of pipeline capacity. With the prospects that natural gas will become an even larger supply source for power generation, and with the increasing need for natural gas generation to backstop </w:t>
            </w:r>
            <w:r>
              <w:rPr>
                <w:rFonts w:ascii="Times New Roman" w:hAnsi="Times New Roman"/>
                <w:b w:val="0"/>
                <w:sz w:val="20"/>
              </w:rPr>
              <w:lastRenderedPageBreak/>
              <w:t>intermittent renewable generation, coordinating these respective operating and regulatory systems will become increasingly complicated.</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lastRenderedPageBreak/>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Communications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10</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40</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Increasing the information about generation and transmission operations would increase transparency and would benefit the smooth functioning of the market.</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Formal Coordination</w:t>
            </w:r>
            <w:r>
              <w:rPr>
                <w:rFonts w:ascii="Times New Roman" w:hAnsi="Times New Roman"/>
                <w:b w:val="0"/>
                <w:sz w:val="20"/>
              </w:rPr>
              <w:br/>
              <w:t>Firm/Interruptible Gas Service</w:t>
            </w:r>
            <w:r>
              <w:rPr>
                <w:rFonts w:ascii="Times New Roman" w:hAnsi="Times New Roman"/>
                <w:b w:val="0"/>
                <w:sz w:val="20"/>
              </w:rPr>
              <w:br/>
              <w:t>Gas Day/Electric Day</w:t>
            </w:r>
            <w:r>
              <w:rPr>
                <w:rFonts w:ascii="Times New Roman" w:hAnsi="Times New Roman"/>
                <w:b w:val="0"/>
                <w:sz w:val="20"/>
              </w:rPr>
              <w:br/>
              <w:t>Gas Nomination Timelines</w:t>
            </w:r>
            <w:r>
              <w:rPr>
                <w:rFonts w:ascii="Times New Roman" w:hAnsi="Times New Roman"/>
                <w:b w:val="0"/>
                <w:sz w:val="20"/>
              </w:rPr>
              <w:br/>
              <w:t>Electricity Utility Nominations</w:t>
            </w:r>
            <w:r>
              <w:rPr>
                <w:rFonts w:ascii="Times New Roman" w:hAnsi="Times New Roman"/>
                <w:b w:val="0"/>
                <w:sz w:val="20"/>
              </w:rPr>
              <w:br/>
              <w:t>Transparency</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10</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40</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The NPC recommends continuing the efforts to harmonize the interaction between the natural gas and electric markets:</w:t>
            </w:r>
          </w:p>
          <w:p>
            <w:pPr>
              <w:pStyle w:val="Title"/>
              <w:numPr>
                <w:ilvl w:val="0"/>
                <w:numId w:val="31"/>
              </w:numPr>
              <w:ind w:left="342" w:hanging="342"/>
              <w:jc w:val="left"/>
              <w:rPr>
                <w:rFonts w:ascii="Times New Roman" w:hAnsi="Times New Roman"/>
                <w:b w:val="0"/>
                <w:sz w:val="20"/>
              </w:rPr>
            </w:pPr>
            <w:r>
              <w:rPr>
                <w:rFonts w:ascii="Times New Roman" w:hAnsi="Times New Roman"/>
                <w:b w:val="0"/>
                <w:sz w:val="20"/>
              </w:rPr>
              <w:t xml:space="preserve">The Federal Energy Regulatory Commission, the North American Electric Reliability Corporation, the North American Energy Standards Board, the National Association of Regulatory Utility Commissioners, and each formal wholesale market operated by the Regional Transmission Organizations should, with robust participation from market participants, undertake to: </w:t>
            </w:r>
          </w:p>
          <w:p>
            <w:pPr>
              <w:pStyle w:val="Title"/>
              <w:numPr>
                <w:ilvl w:val="0"/>
                <w:numId w:val="31"/>
              </w:numPr>
              <w:ind w:left="702"/>
              <w:jc w:val="left"/>
              <w:rPr>
                <w:rFonts w:ascii="Times New Roman" w:hAnsi="Times New Roman"/>
                <w:b w:val="0"/>
                <w:sz w:val="20"/>
              </w:rPr>
            </w:pPr>
            <w:r>
              <w:rPr>
                <w:rFonts w:ascii="Times New Roman" w:hAnsi="Times New Roman"/>
                <w:b w:val="0"/>
                <w:sz w:val="20"/>
              </w:rPr>
              <w:t>Develop policies, regulations, and standardized business practices that improve the coordinated operations of the two industries and reduce barriers that hamper the operation of a well-functioning market</w:t>
            </w:r>
          </w:p>
          <w:p>
            <w:pPr>
              <w:pStyle w:val="Title"/>
              <w:numPr>
                <w:ilvl w:val="0"/>
                <w:numId w:val="31"/>
              </w:numPr>
              <w:ind w:left="702"/>
              <w:jc w:val="left"/>
              <w:rPr>
                <w:rFonts w:ascii="Times New Roman" w:hAnsi="Times New Roman"/>
                <w:b w:val="0"/>
                <w:sz w:val="20"/>
              </w:rPr>
            </w:pPr>
            <w:r>
              <w:rPr>
                <w:rFonts w:ascii="Times New Roman" w:hAnsi="Times New Roman"/>
                <w:b w:val="0"/>
                <w:sz w:val="20"/>
              </w:rPr>
              <w:t>Increase the transparency of wholesale electric power and natural gas markets</w:t>
            </w:r>
          </w:p>
          <w:p>
            <w:pPr>
              <w:pStyle w:val="Title"/>
              <w:numPr>
                <w:ilvl w:val="0"/>
                <w:numId w:val="31"/>
              </w:numPr>
              <w:ind w:left="702"/>
              <w:jc w:val="left"/>
              <w:rPr>
                <w:rFonts w:ascii="Times New Roman" w:hAnsi="Times New Roman"/>
                <w:b w:val="0"/>
                <w:sz w:val="20"/>
              </w:rPr>
            </w:pPr>
            <w:r>
              <w:rPr>
                <w:rFonts w:ascii="Times New Roman" w:hAnsi="Times New Roman"/>
                <w:b w:val="0"/>
                <w:sz w:val="20"/>
              </w:rPr>
              <w:t>Address the issue of what natural gas services generators should hold, including firm transport and storage, and what services pipeline and storage operators should provide to meet the requirements of electricity generators as well as compensation for such services for pipeline and storage operators and generators</w:t>
            </w:r>
          </w:p>
          <w:p>
            <w:pPr>
              <w:pStyle w:val="Title"/>
              <w:numPr>
                <w:ilvl w:val="0"/>
                <w:numId w:val="31"/>
              </w:numPr>
              <w:ind w:left="342" w:hanging="342"/>
              <w:jc w:val="left"/>
              <w:rPr>
                <w:rFonts w:ascii="Times New Roman" w:hAnsi="Times New Roman"/>
                <w:b w:val="0"/>
                <w:sz w:val="20"/>
              </w:rPr>
            </w:pPr>
            <w:r>
              <w:rPr>
                <w:rFonts w:ascii="Times New Roman" w:hAnsi="Times New Roman"/>
                <w:b w:val="0"/>
                <w:sz w:val="20"/>
              </w:rPr>
              <w:t>Transmission operators should identify any transmission bottlenecks or power market rules that limit the ability of natural gas combined cycle plants to replace coal-fired generation.</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Day/Electric Day</w:t>
            </w:r>
            <w:r>
              <w:rPr>
                <w:rFonts w:ascii="Times New Roman" w:hAnsi="Times New Roman"/>
                <w:b w:val="0"/>
                <w:sz w:val="20"/>
              </w:rPr>
              <w:br/>
              <w:t>Gas Nomination Timelines</w:t>
            </w:r>
            <w:r>
              <w:rPr>
                <w:rFonts w:ascii="Times New Roman" w:hAnsi="Times New Roman"/>
                <w:b w:val="0"/>
                <w:sz w:val="20"/>
              </w:rPr>
              <w:br/>
              <w:t>Electricity Utility Nominations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11</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3-29</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 xml:space="preserve">The market rules and service arrangements that govern these two markets, however, differ from one another so that inefficiencies occur. For instance, in many power markets, generators must request natural gas transportation capacity a day before electric grid operators determine which generation plants will be needed to meet the market demand in a near-term upcoming period. As a result, power generators must schedule pipeline capacity before being scheduled for generation commitment or attempt to find pipeline capacity and gas supplies after other potential gas transportation users have </w:t>
            </w:r>
            <w:r>
              <w:rPr>
                <w:rFonts w:ascii="Times New Roman" w:hAnsi="Times New Roman"/>
                <w:b w:val="0"/>
                <w:sz w:val="20"/>
              </w:rPr>
              <w:lastRenderedPageBreak/>
              <w:t>already scheduled capacity. This mismatch in the timing of processes results in an inefficient market and use of resources. Further, while the gas day is uniform across their industry, and pipeline shippers can transport gas across time zones and across different pipelines seamlessly, the electric industry does not have a uniform electric day.</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Nomination Timelines</w:t>
            </w:r>
            <w:r>
              <w:rPr>
                <w:rFonts w:ascii="Times New Roman" w:hAnsi="Times New Roman"/>
                <w:b w:val="0"/>
                <w:sz w:val="20"/>
              </w:rPr>
              <w:br/>
              <w:t>Electricity Utility Nominations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11</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3-30</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A lack of harmonization between natural gas and power markets on how to deal with intraday variations in demand. Intraday changes in electricity demand requires generation that can quickly respond to unexpected changes in requirements that are not necessarily compatible with either the terms and conditions of natural gas service, the natural gas intraday nomination processes, or capacity priority rights.</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Day/Electric Day</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11</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3-30</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The electric day for scheduling across regions is not standardized.</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Day/Electric Day</w:t>
            </w:r>
            <w:r>
              <w:rPr>
                <w:rFonts w:ascii="Times New Roman" w:hAnsi="Times New Roman"/>
                <w:b w:val="0"/>
                <w:sz w:val="20"/>
              </w:rPr>
              <w:br/>
              <w:t>Gas Nomination Timelines</w:t>
            </w:r>
            <w:r>
              <w:rPr>
                <w:rFonts w:ascii="Times New Roman" w:hAnsi="Times New Roman"/>
                <w:b w:val="0"/>
                <w:sz w:val="20"/>
              </w:rPr>
              <w:br/>
              <w:t>Electricity Utility Nominations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11</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3-31</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For over a decade now, U.S. and Canadian natural gas interstate pipelines have operated under a common set of standards developed by the North American Energy Standards Board (NAESB) under the auspices of the FERC. These standards were developed to improve market transparency and efficiency by facilitating computer-to-computer communication for, among other things, scheduling flows of natural gas. All pipelines use a gas day that begins at 9 a.m. central time. In addition, a common set of pipeline location codes were implemented. Scheduling processes have been standardized. On the other hand, the electric industry does not have a set of North America-wide or even interconnection-wide standards for when the electric day starts. Moreover, the times for scheduling electricity vary by specific RTO and these are not consistent with standardized natural gas scheduling processes. Thus, the process for scheduling electricity is neither consistent with the standardized natural gas scheduling process nor consistent with other RTOs (see Figures 3-17 and 3-18).</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Day/Electric Day</w:t>
            </w:r>
            <w:r>
              <w:rPr>
                <w:rFonts w:ascii="Times New Roman" w:hAnsi="Times New Roman"/>
                <w:b w:val="0"/>
                <w:sz w:val="20"/>
              </w:rPr>
              <w:br/>
              <w:t>Gas Nomination Timelines</w:t>
            </w:r>
            <w:r>
              <w:rPr>
                <w:rFonts w:ascii="Times New Roman" w:hAnsi="Times New Roman"/>
                <w:b w:val="0"/>
                <w:sz w:val="20"/>
              </w:rPr>
              <w:br/>
              <w:t>Electricity Utility Nominations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11</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3-34</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 xml:space="preserve">As a consequence of these inconsistent time lines, the owner of a gas-fired generator must either buy gas without knowing if its power will be scheduled, or submit a power bid before knowing if the gas can be purchased and scheduled. The cost of covering the risk created by the inconsistency in time lines must be reflected in generators’ power offers. During periods when or regions where power and natural gas pipeline capacity are not constrained and demand is not volatile, this is a manageable risk. However, when pipeline capacity is constrained, the risk is high as gas-fired generators may be </w:t>
            </w:r>
            <w:r>
              <w:rPr>
                <w:rFonts w:ascii="Times New Roman" w:hAnsi="Times New Roman"/>
                <w:b w:val="0"/>
                <w:sz w:val="20"/>
              </w:rPr>
              <w:lastRenderedPageBreak/>
              <w:t>exposed to substantial balancing penalties from pipelines and Local Distribution Companies (LDCs).</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Day/Electric Day</w:t>
            </w:r>
            <w:r>
              <w:rPr>
                <w:rFonts w:ascii="Times New Roman" w:hAnsi="Times New Roman"/>
                <w:b w:val="0"/>
                <w:sz w:val="20"/>
              </w:rPr>
              <w:br/>
              <w:t>Gas Nomination Timeliness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11</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3-34</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 xml:space="preserve">Intraday time lines are also inconsistent, such as between the natural gas and electric scheduling processes. The intraday gas market is generally much less liquid than the electric market, adding to the risk associated with real-time offers. All of this is complicated by the operation of electric generating units (especially gas-fired units), which can be brought online with relatively short notice and/or can change generation output levels very frequently to adjust for changes in power requirement on the grid. These changes can be related to other generating units unexpectedly going offline, changes in load, and/or changes to intermittent renewable generation output. These frequent and sometimes dramatic changes in gas-fired generation requirements can put stress on the pipeline system. Although pipelines have various mechanisms for dealing with these changes, including the use of storage, compression and/or line pack, their tariffs typically call for gas to be used at an even 24-hour or ‘ratable’ flow, if pipeline operations could be adversely affected. </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Firm/Interruptible Gas Service</w:t>
            </w:r>
            <w:r>
              <w:rPr>
                <w:rFonts w:ascii="Times New Roman" w:hAnsi="Times New Roman"/>
                <w:b w:val="0"/>
                <w:sz w:val="20"/>
              </w:rPr>
              <w:br/>
              <w:t>No Bump Rule</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11</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3-35</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A practicable obstacle to providing more flexible firm service, such as hourly firm service, that is not subject to the no bump rule, is that the staff that schedules natural gas for many gas suppliers and buyers are not available on a 24/7/365 basis.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Transparency Reporting</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11</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3-27</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Unexpected changes in demand or supply are drivers of price volatility. One way to reduce volatility is to minimize surprises by increasing transparency of supplier operations.43 The FERC has done this by requiring interstate pipelines to post on the web extensive data on their operations. Increasing the transparency of power and transmission operations could also add predictability and reduce surprises.</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Day/Electric Day</w:t>
            </w:r>
            <w:r>
              <w:rPr>
                <w:rFonts w:ascii="Times New Roman" w:hAnsi="Times New Roman"/>
                <w:b w:val="0"/>
                <w:sz w:val="20"/>
              </w:rPr>
              <w:br/>
              <w:t>Gas Nomination Timelines</w:t>
            </w:r>
            <w:r>
              <w:rPr>
                <w:rFonts w:ascii="Times New Roman" w:hAnsi="Times New Roman"/>
                <w:b w:val="0"/>
                <w:sz w:val="20"/>
              </w:rPr>
              <w:br/>
              <w:t>Electricity Utility Nominations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11</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3-34</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Better-coordinated natural gas and power time lines could help reduce power generator risks. However, given that gas processes are based on national standards, but power processes vary by region, it will take significant efforts to develop uniform, consistent gas and power time lines for North America.</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Firm/Interruptible Gas Service</w:t>
            </w:r>
            <w:r>
              <w:rPr>
                <w:rFonts w:ascii="Times New Roman" w:hAnsi="Times New Roman"/>
                <w:b w:val="0"/>
                <w:sz w:val="20"/>
              </w:rPr>
              <w:br/>
              <w:t>Gas Day/Electric Day</w:t>
            </w:r>
            <w:r>
              <w:rPr>
                <w:rFonts w:ascii="Times New Roman" w:hAnsi="Times New Roman"/>
                <w:b w:val="0"/>
                <w:sz w:val="20"/>
              </w:rPr>
              <w:br/>
              <w:t>Gas Nomination Timelines</w:t>
            </w:r>
            <w:r>
              <w:rPr>
                <w:rFonts w:ascii="Times New Roman" w:hAnsi="Times New Roman"/>
                <w:b w:val="0"/>
                <w:sz w:val="20"/>
              </w:rPr>
              <w:br/>
              <w:t>Electricity Utility Nominations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11</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3-87</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 xml:space="preserve">This will not be an easy task. Both the natural gas pipeline network and the electric transmission grid operate under different complex systems of rules and regulations that have evolved independently over decades. For example, the natural gas industry uses a standardized operating day, but the power sector has multiple operating days. Also, the scheduling rules and timelines for power generators, for day-ahead and real time markets may not synchronize between electric control areas or with pipeline </w:t>
            </w:r>
            <w:r>
              <w:rPr>
                <w:rFonts w:ascii="Times New Roman" w:hAnsi="Times New Roman"/>
                <w:b w:val="0"/>
                <w:sz w:val="20"/>
              </w:rPr>
              <w:lastRenderedPageBreak/>
              <w:t>capacity nomination schedules or rights. Gas-fired generators who do not hold firm pipeline transportation frequently have to commit power to the regional electricity grid before they have the assurance of pipeline capacity. Additionally, peaking facilities, may find it uneconomical to purchase firm transportation service from pipelines due to their current inability to recover those costs in the marketplace. With the prospects that natural gas will become an even larger supply source for power generation, and with the increasing need for natural gas generation to backstop intermittent renewable generation, coordinating these respective operating and regulatory systems will become increasingly complicated.</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lastRenderedPageBreak/>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Transparency Reporting</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11</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3-87</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As natural gas and electric markets become more entwined, greater coordination between the two will be required. One way to enhance this coordination and to minimize surprises is to increase the transparency of operations. The FERC has done this for natural gas markets by requiring interstate pipelines to post on the web extensive data on their operations. Increasing the information about generation and transmission operations would increase transparency and would benefit the smooth functioning of the market.</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Interdependency</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13</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100</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The electric power industry has become the natural gas industry’s biggest consumer and likely will account for most of the growth in natural gas demand over the next two decades. In addition, the industries have become highly dependent upon each other. In the case of the gas industry there has been an increased use in electric compressors, while the increased market share of gas-fired generation within the power industry has been significant and likely will continue to occur. These phenomena create interdependency between the two industries, particularly in certain regions, and overall requires an increased need for coordination, particularly during times of stress.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Day/Electric Day</w:t>
            </w:r>
            <w:r>
              <w:rPr>
                <w:rFonts w:ascii="Times New Roman" w:hAnsi="Times New Roman"/>
                <w:b w:val="0"/>
                <w:sz w:val="20"/>
              </w:rPr>
              <w:br/>
              <w:t>Gas Nomination Timelines</w:t>
            </w:r>
            <w:r>
              <w:rPr>
                <w:rFonts w:ascii="Times New Roman" w:hAnsi="Times New Roman"/>
                <w:b w:val="0"/>
                <w:sz w:val="20"/>
              </w:rPr>
              <w:br/>
              <w:t>Electricity Utility Nominations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13</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101</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Increased coordination between the two industries is needed. While progress has been made in the coordination between the two industries in certain regions, for other regions there appears to be a steeper learning curve. The latter is particularly true for those regions which are just beginning to increase their use of gas-fired generation.</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Transparency Reporting</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13</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102</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 xml:space="preserve">Vital information needed for the reliable operation of the bulk power system should be shared with system operators from both industries—increased transparency in both markets is needed. Examples of this include the sharing of maintenance issues (e.g., the pipeline and the generators), new facilities </w:t>
            </w:r>
            <w:r>
              <w:rPr>
                <w:rFonts w:ascii="Times New Roman" w:hAnsi="Times New Roman"/>
                <w:b w:val="0"/>
                <w:sz w:val="20"/>
              </w:rPr>
              <w:lastRenderedPageBreak/>
              <w:t>perceived impact, load levels, dispatch principles and general patterns or forecasts for both industries.</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Day/Electric Day</w:t>
            </w:r>
            <w:r>
              <w:rPr>
                <w:rFonts w:ascii="Times New Roman" w:hAnsi="Times New Roman"/>
                <w:b w:val="0"/>
                <w:sz w:val="20"/>
              </w:rPr>
              <w:br/>
              <w:t>Gas Nomination Timelines</w:t>
            </w:r>
            <w:r>
              <w:rPr>
                <w:rFonts w:ascii="Times New Roman" w:hAnsi="Times New Roman"/>
                <w:b w:val="0"/>
                <w:sz w:val="20"/>
              </w:rPr>
              <w:br/>
              <w:t>Electricity Utility Nominations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13</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103</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Communications between two industries are hampered by the incompatibility between the traditional gas day, traditional electric day, and the market day (in market areas), which increases the difficulty of the gas industry providing the needed services to its largest consumer. Contracting practices also make it difficult to plan the flexibility needed for both industries’ reliable operation. A coordinated approach for engaging the two industries to come together and develop compromising solutions to address communication strategies, operational changes, and tariff changes is critical. FERC and the North American Energy Standards Board (NAESB) should develop strategies to harmonize the divergent views of the two industries.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Transparency Reporting</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13</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103</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Vulnerabilities should be identified. Mitigating strategies should be incorporated into the planning and operation procedures for both industries. The electric industry should evaluate which generators may be most susceptible to pipeline disruptions (e.g., number of pipelines serving the generator, proximity to gas storage, and location relative to pipeline). The gas pipeline industry should consider electric system generation forecasts during the planning process. For operations, the sharing of real-time system information by both industries increases the ability for each to make informed decisions and reduce overall risk.</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Full Fuel Cycle Analysis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14</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4</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Adoption of full-fuel-cycle analysis in codes, standards and energy labeling;</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Full Fuel Cycle Analysis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14</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5</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Expand the use of source energy standards to recognize the value of full-fuel-cycle energy efficiency and carbon emission benefits and incorporate full-fuel-cycle analysis in all conservation and energy efficiency standards, including common measures of energy and greenhouse gas emissions;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Smart Grid</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14</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5</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Expand ongoing Smart Grid standards development efforts to include natural gas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Smart Grid</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14</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5</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Provide consumers information about energy usage and energy appliance selections so they can make educated decisions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Communications/Confidentiality</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14</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5</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 xml:space="preserve">Modify market rules to facilitate and create procedures for direct communications between pipeline and electric grid operators to fully optimize the usage of energy. </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Communications/Confidentiality</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14</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5</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Promote real-time communications between the gas and electricity grids</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Gas Nomination Timelines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15</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7</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Review the possibility of adding an additional intraday nomination cycle with bumping rights to provide more flexibility to shippers, including power generators, with firm transportation rights such that they can nominate for natural gas supporting their market clearing times.</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Electricity Utility Nominations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15</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7</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Review and modify the requirements for organized electric markets so that the markets clear in sufficient time to nominate within the existing gas nomination timelines</w:t>
            </w:r>
          </w:p>
        </w:tc>
      </w:tr>
      <w:tr>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Electricity Utility Nominations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15</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7</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Require generators that offer into the day-ahead market to have the appropriate commercial arrangements to fulfill the needed obligations.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Communications</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16</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w:t>
            </w:r>
          </w:p>
        </w:tc>
        <w:tc>
          <w:tcPr>
            <w:tcW w:w="8464" w:type="dxa"/>
            <w:tcBorders>
              <w:top w:val="nil"/>
              <w:left w:val="nil"/>
              <w:bottom w:val="nil"/>
              <w:right w:val="nil"/>
            </w:tcBorders>
          </w:tcPr>
          <w:p>
            <w:pPr>
              <w:pStyle w:val="Title"/>
              <w:jc w:val="left"/>
              <w:rPr>
                <w:rFonts w:ascii="Times New Roman" w:hAnsi="Times New Roman"/>
                <w:b w:val="0"/>
                <w:i/>
                <w:sz w:val="20"/>
              </w:rPr>
            </w:pPr>
            <w:r>
              <w:rPr>
                <w:rFonts w:ascii="Times New Roman" w:hAnsi="Times New Roman"/>
                <w:b w:val="0"/>
                <w:sz w:val="20"/>
              </w:rPr>
              <w:t xml:space="preserve">This standard requires coordination between Nuclear Plant Generator Operators and Transmission Entities for the purpose of ensuring nuclear plant safe operation and shutdown. – </w:t>
            </w:r>
            <w:r>
              <w:rPr>
                <w:rFonts w:ascii="Times New Roman" w:hAnsi="Times New Roman"/>
                <w:b w:val="0"/>
                <w:i/>
                <w:sz w:val="20"/>
              </w:rPr>
              <w:t>Example of standards that may be a template for additional NAESB standards to support transparency of information between markets.</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Transparency</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17</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w:t>
            </w:r>
          </w:p>
        </w:tc>
        <w:tc>
          <w:tcPr>
            <w:tcW w:w="8464" w:type="dxa"/>
            <w:tcBorders>
              <w:top w:val="nil"/>
              <w:left w:val="nil"/>
              <w:bottom w:val="nil"/>
              <w:right w:val="nil"/>
            </w:tcBorders>
          </w:tcPr>
          <w:p>
            <w:pPr>
              <w:pStyle w:val="Title"/>
              <w:jc w:val="left"/>
              <w:rPr>
                <w:rFonts w:ascii="Times New Roman" w:hAnsi="Times New Roman"/>
                <w:b w:val="0"/>
                <w:i/>
                <w:sz w:val="20"/>
              </w:rPr>
            </w:pPr>
            <w:r>
              <w:rPr>
                <w:rFonts w:ascii="Times New Roman" w:hAnsi="Times New Roman"/>
                <w:b w:val="0"/>
                <w:sz w:val="20"/>
              </w:rPr>
              <w:t>Marketed production grew 4 percent to 61.8 billion cubic feet (</w:t>
            </w:r>
            <w:proofErr w:type="spellStart"/>
            <w:r>
              <w:rPr>
                <w:rFonts w:ascii="Times New Roman" w:hAnsi="Times New Roman"/>
                <w:b w:val="0"/>
                <w:sz w:val="20"/>
              </w:rPr>
              <w:t>Bcf</w:t>
            </w:r>
            <w:proofErr w:type="spellEnd"/>
            <w:r>
              <w:rPr>
                <w:rFonts w:ascii="Times New Roman" w:hAnsi="Times New Roman"/>
                <w:b w:val="0"/>
                <w:sz w:val="20"/>
              </w:rPr>
              <w:t xml:space="preserve">) per day. Growth in onshore production offset losses in the Gulf of Mexico (GOM).  Consumption rose to 66.0 </w:t>
            </w:r>
            <w:proofErr w:type="spellStart"/>
            <w:r>
              <w:rPr>
                <w:rFonts w:ascii="Times New Roman" w:hAnsi="Times New Roman"/>
                <w:b w:val="0"/>
                <w:sz w:val="20"/>
              </w:rPr>
              <w:t>Bcf</w:t>
            </w:r>
            <w:proofErr w:type="spellEnd"/>
            <w:r>
              <w:rPr>
                <w:rFonts w:ascii="Times New Roman" w:hAnsi="Times New Roman"/>
                <w:b w:val="0"/>
                <w:sz w:val="20"/>
              </w:rPr>
              <w:t xml:space="preserve"> per day, with large increases coming from additional natural gas-fired power generation.  Net imports decreased by 0.2 </w:t>
            </w:r>
            <w:proofErr w:type="spellStart"/>
            <w:r>
              <w:rPr>
                <w:rFonts w:ascii="Times New Roman" w:hAnsi="Times New Roman"/>
                <w:b w:val="0"/>
                <w:sz w:val="20"/>
              </w:rPr>
              <w:t>Bcf</w:t>
            </w:r>
            <w:proofErr w:type="spellEnd"/>
            <w:r>
              <w:rPr>
                <w:rFonts w:ascii="Times New Roman" w:hAnsi="Times New Roman"/>
                <w:b w:val="0"/>
                <w:sz w:val="20"/>
              </w:rPr>
              <w:t xml:space="preserve"> per day to 7.1 </w:t>
            </w:r>
            <w:proofErr w:type="spellStart"/>
            <w:r>
              <w:rPr>
                <w:rFonts w:ascii="Times New Roman" w:hAnsi="Times New Roman"/>
                <w:b w:val="0"/>
                <w:sz w:val="20"/>
              </w:rPr>
              <w:t>Bcf</w:t>
            </w:r>
            <w:proofErr w:type="spellEnd"/>
            <w:r>
              <w:rPr>
                <w:rFonts w:ascii="Times New Roman" w:hAnsi="Times New Roman"/>
                <w:b w:val="0"/>
                <w:sz w:val="20"/>
              </w:rPr>
              <w:t xml:space="preserve"> per day, the lowest volume of net imports since 1994. Storage inventories reached 3,847 </w:t>
            </w:r>
            <w:proofErr w:type="spellStart"/>
            <w:r>
              <w:rPr>
                <w:rFonts w:ascii="Times New Roman" w:hAnsi="Times New Roman"/>
                <w:b w:val="0"/>
                <w:sz w:val="20"/>
              </w:rPr>
              <w:t>Bcf</w:t>
            </w:r>
            <w:proofErr w:type="spellEnd"/>
            <w:r>
              <w:rPr>
                <w:rFonts w:ascii="Times New Roman" w:hAnsi="Times New Roman"/>
                <w:b w:val="0"/>
                <w:sz w:val="20"/>
              </w:rPr>
              <w:t xml:space="preserve"> at the end of October, a new record level for the end of the injection season.</w:t>
            </w:r>
            <w:r>
              <w:rPr>
                <w:rFonts w:ascii="Times New Roman" w:hAnsi="Times New Roman"/>
                <w:b w:val="0"/>
                <w:sz w:val="20"/>
              </w:rPr>
              <w:br/>
            </w:r>
            <w:r>
              <w:rPr>
                <w:rFonts w:ascii="Times New Roman" w:hAnsi="Times New Roman"/>
                <w:b w:val="0"/>
                <w:i/>
                <w:sz w:val="20"/>
              </w:rPr>
              <w:t>Transparency reporting to link production to the demands of the marketplace – thus connecting the dots of the NPC report.</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Transparency</w:t>
            </w:r>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18</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2-4</w:t>
            </w:r>
          </w:p>
        </w:tc>
        <w:tc>
          <w:tcPr>
            <w:tcW w:w="846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Availability Plan:  An hourly representation of availability of Reliability Must-Run (RMR) Units or Synchronous Condenser Units, or an hourly representation of the capability of Black Start Resources as submitted to ERCOT by 0600 in the Day-Ahead by QSEs representing RMR Units, Synchronous Condenser Units or Black Start Resources.</w:t>
            </w:r>
            <w:r>
              <w:rPr>
                <w:rFonts w:ascii="Times New Roman" w:hAnsi="Times New Roman"/>
                <w:b w:val="0"/>
                <w:sz w:val="20"/>
              </w:rPr>
              <w:br/>
            </w:r>
            <w:r>
              <w:rPr>
                <w:rFonts w:ascii="Times New Roman" w:hAnsi="Times New Roman"/>
                <w:b w:val="0"/>
                <w:i/>
                <w:sz w:val="20"/>
              </w:rPr>
              <w:t>Hourly fuel requirements aggregated by balancing authority (not plant) for power generation</w:t>
            </w:r>
          </w:p>
        </w:tc>
      </w:tr>
      <w:tr>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686" w:type="dxa"/>
            <w:tcBorders>
              <w:top w:val="nil"/>
              <w:left w:val="nil"/>
              <w:bottom w:val="nil"/>
              <w:right w:val="nil"/>
            </w:tcBorders>
          </w:tcPr>
          <w:p>
            <w:pPr>
              <w:pStyle w:val="Title"/>
              <w:rPr>
                <w:rFonts w:ascii="Times New Roman" w:hAnsi="Times New Roman"/>
                <w:b w:val="0"/>
                <w:sz w:val="20"/>
              </w:rPr>
            </w:pPr>
          </w:p>
        </w:tc>
        <w:tc>
          <w:tcPr>
            <w:tcW w:w="686" w:type="dxa"/>
            <w:tcBorders>
              <w:top w:val="nil"/>
              <w:left w:val="nil"/>
              <w:bottom w:val="nil"/>
              <w:right w:val="nil"/>
            </w:tcBorders>
          </w:tcPr>
          <w:p>
            <w:pPr>
              <w:pStyle w:val="Title"/>
              <w:rPr>
                <w:rFonts w:ascii="Times New Roman" w:hAnsi="Times New Roman"/>
                <w:b w:val="0"/>
                <w:sz w:val="20"/>
              </w:rPr>
            </w:pPr>
            <w:r>
              <w:rPr>
                <w:rFonts w:ascii="Times New Roman" w:hAnsi="Times New Roman"/>
                <w:b w:val="0"/>
                <w:sz w:val="20"/>
              </w:rPr>
              <w:t>X</w:t>
            </w:r>
          </w:p>
        </w:tc>
        <w:tc>
          <w:tcPr>
            <w:tcW w:w="28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 xml:space="preserve">Impact on </w:t>
            </w:r>
            <w:proofErr w:type="spellStart"/>
            <w:r>
              <w:rPr>
                <w:rFonts w:ascii="Times New Roman" w:hAnsi="Times New Roman"/>
                <w:b w:val="0"/>
                <w:sz w:val="20"/>
              </w:rPr>
              <w:t>linepack</w:t>
            </w:r>
            <w:proofErr w:type="spellEnd"/>
          </w:p>
        </w:tc>
        <w:tc>
          <w:tcPr>
            <w:tcW w:w="550"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20</w:t>
            </w:r>
          </w:p>
        </w:tc>
        <w:tc>
          <w:tcPr>
            <w:tcW w:w="694" w:type="dxa"/>
            <w:tcBorders>
              <w:top w:val="nil"/>
              <w:left w:val="nil"/>
              <w:bottom w:val="nil"/>
              <w:right w:val="nil"/>
            </w:tcBorders>
          </w:tcPr>
          <w:p>
            <w:pPr>
              <w:pStyle w:val="Title"/>
              <w:jc w:val="left"/>
              <w:rPr>
                <w:rFonts w:ascii="Times New Roman" w:hAnsi="Times New Roman"/>
                <w:b w:val="0"/>
                <w:sz w:val="20"/>
              </w:rPr>
            </w:pPr>
            <w:r>
              <w:rPr>
                <w:rFonts w:ascii="Times New Roman" w:hAnsi="Times New Roman"/>
                <w:b w:val="0"/>
                <w:sz w:val="20"/>
              </w:rPr>
              <w:t>1</w:t>
            </w:r>
          </w:p>
        </w:tc>
        <w:tc>
          <w:tcPr>
            <w:tcW w:w="8464" w:type="dxa"/>
            <w:tcBorders>
              <w:top w:val="nil"/>
              <w:left w:val="nil"/>
              <w:bottom w:val="nil"/>
              <w:right w:val="nil"/>
            </w:tcBorders>
          </w:tcPr>
          <w:p>
            <w:pPr>
              <w:pStyle w:val="Title"/>
              <w:jc w:val="left"/>
              <w:rPr>
                <w:rFonts w:ascii="Times New Roman" w:hAnsi="Times New Roman"/>
                <w:b w:val="0"/>
                <w:i/>
                <w:sz w:val="20"/>
              </w:rPr>
            </w:pPr>
            <w:r>
              <w:rPr>
                <w:rFonts w:ascii="Times New Roman" w:hAnsi="Times New Roman"/>
                <w:b w:val="0"/>
                <w:sz w:val="20"/>
              </w:rPr>
              <w:t>A 50-mile section of 42-inch transmission line operating at about 1,000 pounds of pressure contains about 200 million cubic feet of gas -- enough to power a kitchen range for more than 2,000 years.  The amount of gas in the pipe is called the "</w:t>
            </w:r>
            <w:proofErr w:type="spellStart"/>
            <w:r>
              <w:rPr>
                <w:rFonts w:ascii="Times New Roman" w:hAnsi="Times New Roman"/>
                <w:b w:val="0"/>
                <w:sz w:val="20"/>
              </w:rPr>
              <w:t>linepack</w:t>
            </w:r>
            <w:proofErr w:type="spellEnd"/>
            <w:r>
              <w:rPr>
                <w:rFonts w:ascii="Times New Roman" w:hAnsi="Times New Roman"/>
                <w:b w:val="0"/>
                <w:sz w:val="20"/>
              </w:rPr>
              <w:t xml:space="preserve">." By raising and lowering the pressure on any pipeline segment, a pipeline company can use the segment to store gas during periods when there is less </w:t>
            </w:r>
            <w:r>
              <w:rPr>
                <w:rFonts w:ascii="Times New Roman" w:hAnsi="Times New Roman"/>
                <w:b w:val="0"/>
                <w:sz w:val="20"/>
              </w:rPr>
              <w:lastRenderedPageBreak/>
              <w:t xml:space="preserve">demand at the end of the pipeline.  Using </w:t>
            </w:r>
            <w:proofErr w:type="spellStart"/>
            <w:r>
              <w:rPr>
                <w:rFonts w:ascii="Times New Roman" w:hAnsi="Times New Roman"/>
                <w:b w:val="0"/>
                <w:sz w:val="20"/>
              </w:rPr>
              <w:t>linepack</w:t>
            </w:r>
            <w:proofErr w:type="spellEnd"/>
            <w:r>
              <w:rPr>
                <w:rFonts w:ascii="Times New Roman" w:hAnsi="Times New Roman"/>
                <w:b w:val="0"/>
                <w:sz w:val="20"/>
              </w:rPr>
              <w:t xml:space="preserve"> in this way allows pipeline operators to handle hourly fluctuations in demand very efficiently. Natural gas pipelines and utilities use very sophisticated computer models of customer demand for natural gas, which relate daily and hourly consumption trends with seasonal and environmental factors.  That's why customers can depend on the reliability of natural gas -- when it's needed, it's there.</w:t>
            </w:r>
            <w:r>
              <w:rPr>
                <w:rFonts w:ascii="Times New Roman" w:hAnsi="Times New Roman"/>
                <w:b w:val="0"/>
                <w:sz w:val="20"/>
              </w:rPr>
              <w:br/>
            </w:r>
            <w:r>
              <w:rPr>
                <w:rFonts w:ascii="Times New Roman" w:hAnsi="Times New Roman"/>
                <w:b w:val="0"/>
                <w:i/>
                <w:sz w:val="20"/>
              </w:rPr>
              <w:t xml:space="preserve">Impact on </w:t>
            </w:r>
            <w:proofErr w:type="spellStart"/>
            <w:r>
              <w:rPr>
                <w:rFonts w:ascii="Times New Roman" w:hAnsi="Times New Roman"/>
                <w:b w:val="0"/>
                <w:i/>
                <w:sz w:val="20"/>
              </w:rPr>
              <w:t>linepack</w:t>
            </w:r>
            <w:proofErr w:type="spellEnd"/>
            <w:r>
              <w:rPr>
                <w:rFonts w:ascii="Times New Roman" w:hAnsi="Times New Roman"/>
                <w:b w:val="0"/>
                <w:i/>
                <w:sz w:val="20"/>
              </w:rPr>
              <w:t xml:space="preserve"> of support of intermittent resources such as variable energy resources</w:t>
            </w:r>
          </w:p>
        </w:tc>
      </w:tr>
    </w:tbl>
    <w:p>
      <w:pPr>
        <w:spacing w:before="240"/>
        <w:jc w:val="center"/>
        <w:rPr>
          <w:bCs/>
        </w:rPr>
      </w:pPr>
    </w:p>
    <w:sectPr>
      <w:pgSz w:w="15840" w:h="12240" w:orient="landscape" w:code="1"/>
      <w:pgMar w:top="1166" w:right="720" w:bottom="1267"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4" w:space="1" w:color="auto"/>
      </w:pBdr>
      <w:jc w:val="right"/>
    </w:pPr>
    <w:r>
      <w:t>Gas-Electric Harmonization Committee Work Plan, Issues Cross Reference, Assignments – February 8, 2012</w:t>
    </w:r>
  </w:p>
  <w:p>
    <w:pPr>
      <w:pStyle w:val="Footer"/>
      <w:pBdr>
        <w:top w:val="single" w:sz="4" w:space="1" w:color="auto"/>
      </w:pBdr>
      <w:jc w:val="right"/>
    </w:pPr>
    <w:r>
      <w:t xml:space="preserve">Page </w:t>
    </w:r>
    <w:r>
      <w:fldChar w:fldCharType="begin"/>
    </w:r>
    <w:r>
      <w:instrText xml:space="preserve"> PAGE </w:instrText>
    </w:r>
    <w:r>
      <w:fldChar w:fldCharType="separate"/>
    </w:r>
    <w:r>
      <w:rPr>
        <w:noProof/>
      </w:rPr>
      <w:t>6</w:t>
    </w:r>
    <w:r>
      <w:rPr>
        <w:noProof/>
      </w:rPr>
      <w:fldChar w:fldCharType="end"/>
    </w:r>
    <w:r>
      <w:t xml:space="preserve"> of </w:t>
    </w:r>
    <w:fldSimple w:instr=" NUMPAGES ">
      <w:r>
        <w:rPr>
          <w:noProof/>
        </w:rPr>
        <w:t>21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The teams are: (1) Transparency -- </w:t>
      </w:r>
      <w:proofErr w:type="spellStart"/>
      <w:r>
        <w:rPr>
          <w:bCs/>
        </w:rPr>
        <w:t>transparency</w:t>
      </w:r>
      <w:proofErr w:type="spellEnd"/>
      <w:r>
        <w:rPr>
          <w:bCs/>
        </w:rPr>
        <w:t xml:space="preserve"> and availability of interdependency data upon which to make decisions, (2) Coordination -- </w:t>
      </w:r>
      <w:proofErr w:type="spellStart"/>
      <w:r>
        <w:rPr>
          <w:bCs/>
        </w:rPr>
        <w:t>coordination</w:t>
      </w:r>
      <w:proofErr w:type="spellEnd"/>
      <w:r>
        <w:rPr>
          <w:bCs/>
        </w:rPr>
        <w:t xml:space="preserve"> of timelines and market functions, and (3) Operational and Commercial -- identification of transmission bottlenecks, identification of the needed fuel and delivery service against must-run requirements for generators and similar operational and commercial decisions.</w:t>
      </w:r>
    </w:p>
  </w:footnote>
  <w:footnote w:id="2">
    <w:p>
      <w:pPr>
        <w:pStyle w:val="FootnoteText"/>
      </w:pPr>
      <w:r>
        <w:rPr>
          <w:rStyle w:val="FootnoteReference"/>
        </w:rPr>
        <w:footnoteRef/>
      </w:r>
      <w:r>
        <w:t xml:space="preserve"> The teams are co-led by Vicky Bailey, Lorraine Cross, Lisa Epifani, Bob Gee, Christopher </w:t>
      </w:r>
      <w:proofErr w:type="spellStart"/>
      <w:r>
        <w:t>Freitas</w:t>
      </w:r>
      <w:proofErr w:type="spellEnd"/>
      <w:r>
        <w:t xml:space="preserve">, Joelle </w:t>
      </w:r>
      <w:proofErr w:type="spellStart"/>
      <w:r>
        <w:t>Ogg</w:t>
      </w:r>
      <w:proofErr w:type="spellEnd"/>
      <w:r>
        <w:t xml:space="preserve">, Commissioner </w:t>
      </w:r>
      <w:smartTag w:uri="urn:schemas-microsoft-com:office:smarttags" w:element="PersonName">
        <w:r>
          <w:t>Timothy Simon</w:t>
        </w:r>
      </w:smartTag>
      <w:r>
        <w:t xml:space="preserve">, Rick Smead, Terry Thorn and Ken Yeasting – who are members of the leadership group for this effort.  Committee members are assigned to one team but can participate in as many other teams as they so choose.  The committee as a whole is chaired by </w:t>
      </w:r>
      <w:smartTag w:uri="urn:schemas-microsoft-com:office:smarttags" w:element="PersonName">
        <w:r>
          <w:t>Valerie Crockett</w:t>
        </w:r>
      </w:smartTag>
      <w:r>
        <w:t>, NAESB Board of Directors Chairman and Sue Tierney, Managing Principal, Analysis Group.</w:t>
      </w:r>
    </w:p>
  </w:footnote>
  <w:footnote w:id="3">
    <w:p>
      <w:pPr>
        <w:pStyle w:val="FootnoteText"/>
      </w:pPr>
      <w:r>
        <w:rPr>
          <w:rStyle w:val="FootnoteReference"/>
        </w:rPr>
        <w:footnoteRef/>
      </w:r>
      <w:r>
        <w:t xml:space="preserve"> The teams are: (1) Transparency -- </w:t>
      </w:r>
      <w:proofErr w:type="spellStart"/>
      <w:r>
        <w:rPr>
          <w:bCs/>
        </w:rPr>
        <w:t>transparency</w:t>
      </w:r>
      <w:proofErr w:type="spellEnd"/>
      <w:r>
        <w:rPr>
          <w:bCs/>
        </w:rPr>
        <w:t xml:space="preserve"> and availability of interdependency data upon which to make decisions, (2) Coordination -- </w:t>
      </w:r>
      <w:proofErr w:type="spellStart"/>
      <w:r>
        <w:rPr>
          <w:bCs/>
        </w:rPr>
        <w:t>coordination</w:t>
      </w:r>
      <w:proofErr w:type="spellEnd"/>
      <w:r>
        <w:rPr>
          <w:bCs/>
        </w:rPr>
        <w:t xml:space="preserve"> of timelines and market functions, and (3) Operational and Commercial -- identification of transmission bottlenecks, identification of the needed fuel and delivery service against must-run requirements for generators and similar operational and commercial decisions.</w:t>
      </w:r>
    </w:p>
  </w:footnote>
  <w:footnote w:id="4">
    <w:p>
      <w:pPr>
        <w:pStyle w:val="FootnoteText"/>
      </w:pPr>
      <w:r>
        <w:rPr>
          <w:rStyle w:val="FootnoteReference"/>
        </w:rPr>
        <w:footnoteRef/>
      </w:r>
      <w:r>
        <w:t xml:space="preserve">   Italic text indicates comments.  The italic text is not part of the expert of the indicated reports/documents (R #, referenced on pp.. 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1.9pt;margin-top:-.55pt;width:77.3pt;height:89.25pt;z-index:-9;visibility:visible">
          <v:imagedata r:id="rId1" o:title="" cropbottom="15862f" cropright="28639f"/>
        </v:shape>
      </w:pict>
    </w:r>
    <w:r>
      <w:rPr>
        <w:noProof/>
      </w:rPr>
      <w:pict>
        <v:rect id="Rectangle 1" o:spid="_x0000_s2050" style="position:absolute;margin-left:-1.85pt;margin-top:.95pt;width:3.55pt;height:11.5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pvpgIAAJ4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lsPKb6YCAACeBQAADgAAAAAAAAAAAAAAAAAu&#10;AgAAZHJzL2Uyb0RvYy54bWxQSwECLQAUAAYACAAAACEAieVxSdwAAAAFAQAADwAAAAAAAAAAAAAA&#10;AAAABQAAZHJzL2Rvd25yZXYueG1sUEsFBgAAAAAEAAQA8wAAAAkGAAAAAA==&#10;" filled="f" stroked="f">
          <v:textbox inset="0,0,0,0">
            <w:txbxContent>
              <w:p/>
            </w:txbxContent>
          </v:textbox>
        </v:rect>
      </w:pic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pPr>
      <w:pStyle w:val="Header"/>
      <w:ind w:left="1800"/>
      <w:jc w:val="right"/>
    </w:pPr>
    <w:r>
      <w:t xml:space="preserve">Phone: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356-0060</w:t>
        </w:r>
      </w:smartTag>
    </w:smartTag>
    <w:r>
      <w:t xml:space="preserve">, Fax: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356-0067</w:t>
        </w:r>
      </w:smartTag>
    </w:smartTag>
    <w:r>
      <w:t xml:space="preserve">, E-mail: </w:t>
    </w:r>
    <w:smartTag w:uri="urn:schemas-microsoft-com:office:smarttags" w:element="PersonName">
      <w:r>
        <w:t>naesb</w:t>
      </w:r>
    </w:smartTag>
    <w:r>
      <w:t>@</w:t>
    </w:r>
    <w:smartTag w:uri="urn:schemas-microsoft-com:office:smarttags" w:element="PersonName">
      <w:r>
        <w:t>naesb</w:t>
      </w:r>
    </w:smartTag>
    <w:r>
      <w:t>.org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1" type="#_x0000_t75" style="position:absolute;margin-left:-2.05pt;margin-top:-.75pt;width:77.25pt;height:71.25pt;z-index:-7;visibility:visible">
          <v:imagedata r:id="rId1" o:title="" cropbottom="15862f" cropright="28639f"/>
        </v:shape>
      </w:pict>
    </w:r>
    <w:r>
      <w:rPr>
        <w:noProof/>
      </w:rPr>
      <w:pict>
        <v:rect id="Rectangle 3" o:spid="_x0000_s2052" style="position:absolute;margin-left:-1.85pt;margin-top:.95pt;width:3.55pt;height:11.55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0EqwIAAKU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Wmq0EqwIAAKUFAAAOAAAAAAAAAAAA&#10;AAAAAC4CAABkcnMvZTJvRG9jLnhtbFBLAQItABQABgAIAAAAIQCJ5XFJ3AAAAAUBAAAPAAAAAAAA&#10;AAAAAAAAAAUFAABkcnMvZG93bnJldi54bWxQSwUGAAAAAAQABADzAAAADgYAAAAA&#10;" filled="f" stroked="f">
          <v:textbox inset="0,0,0,0">
            <w:txbxContent>
              <w:p/>
            </w:txbxContent>
          </v:textbox>
        </v:rect>
      </w:pict>
    </w: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pPr>
      <w:pStyle w:val="Header"/>
      <w:ind w:left="1800"/>
      <w:jc w:val="right"/>
    </w:pPr>
    <w:r>
      <w:t xml:space="preserve">Phone: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356-0060</w:t>
        </w:r>
      </w:smartTag>
    </w:smartTag>
    <w:r>
      <w:t xml:space="preserve">, Fax: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356-0067</w:t>
        </w:r>
      </w:smartTag>
    </w:smartTag>
    <w:r>
      <w:t xml:space="preserve">, E-mail: </w:t>
    </w:r>
    <w:smartTag w:uri="urn:schemas-microsoft-com:office:smarttags" w:element="PersonName">
      <w:r>
        <w:t>naesb</w:t>
      </w:r>
    </w:smartTag>
    <w:r>
      <w:t>@</w:t>
    </w:r>
    <w:smartTag w:uri="urn:schemas-microsoft-com:office:smarttags" w:element="PersonName">
      <w:r>
        <w:t>naesb</w:t>
      </w:r>
    </w:smartTag>
    <w:r>
      <w:t>.org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p>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3" type="#_x0000_t75" style="position:absolute;margin-left:-2.05pt;margin-top:-.75pt;width:77.25pt;height:70.5pt;z-index:-3;visibility:visible">
          <v:imagedata r:id="rId1" o:title="" cropbottom="15862f" cropright="28639f"/>
        </v:shape>
      </w:pict>
    </w:r>
    <w:r>
      <w:rPr>
        <w:noProof/>
      </w:rPr>
      <w:pict>
        <v:rect id="_x0000_s2054" style="position:absolute;margin-left:-1.85pt;margin-top:.95pt;width:3.55pt;height:11.5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6crAIAAKY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" filled="f" stroked="f">
          <v:textbox inset="0,0,0,0">
            <w:txbxContent>
              <w:p/>
            </w:txbxContent>
          </v:textbox>
        </v:rect>
      </w:pict>
    </w: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pPr>
      <w:pStyle w:val="Header"/>
      <w:ind w:left="1800"/>
      <w:jc w:val="right"/>
    </w:pPr>
    <w:r>
      <w:t xml:space="preserve">Phone: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356-0060</w:t>
        </w:r>
      </w:smartTag>
    </w:smartTag>
    <w:r>
      <w:t xml:space="preserve">, Fax: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356-0067</w:t>
        </w:r>
      </w:smartTag>
    </w:smartTag>
    <w:r>
      <w:t xml:space="preserve">, E-mail: </w:t>
    </w:r>
    <w:smartTag w:uri="urn:schemas-microsoft-com:office:smarttags" w:element="PersonName">
      <w:r>
        <w:t>naesb</w:t>
      </w:r>
    </w:smartTag>
    <w:r>
      <w:t>@</w:t>
    </w:r>
    <w:smartTag w:uri="urn:schemas-microsoft-com:office:smarttags" w:element="PersonName">
      <w:r>
        <w:t>naesb</w:t>
      </w:r>
    </w:smartTag>
    <w:r>
      <w:t>.org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p>
    <w:pPr>
      <w:spacing w:before="240" w:after="240"/>
      <w:jc w:val="center"/>
      <w:rPr>
        <w:b/>
        <w:smallCaps/>
      </w:rPr>
    </w:pPr>
    <w:r>
      <w:rPr>
        <w:b/>
        <w:smallCaps/>
      </w:rPr>
      <w:t>Gas-Electric Harmonization Committee Teams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5" type="#_x0000_t75" style="position:absolute;margin-left:-1.9pt;margin-top:-.55pt;width:77.3pt;height:89.25pt;z-index:-5;visibility:visible">
          <v:imagedata r:id="rId1" o:title="" cropbottom="15862f" cropright="28639f"/>
        </v:shape>
      </w:pict>
    </w:r>
    <w:r>
      <w:rPr>
        <w:noProof/>
      </w:rPr>
      <w:pict>
        <v:rect id="_x0000_s2056" style="position:absolute;margin-left:-1.85pt;margin-top:.95pt;width:3.55pt;height:11.5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HJ7Q0eqAgAApQUAAA4AAAAAAAAAAAAA&#10;AAAALgIAAGRycy9lMm9Eb2MueG1sUEsBAi0AFAAGAAgAAAAhAInlcUncAAAABQEAAA8AAAAAAAAA&#10;AAAAAAAABAUAAGRycy9kb3ducmV2LnhtbFBLBQYAAAAABAAEAPMAAAANBgAAAAA=&#10;" filled="f" stroked="f">
          <v:textbox inset="0,0,0,0">
            <w:txbxContent>
              <w:p/>
            </w:txbxContent>
          </v:textbox>
        </v:rect>
      </w:pic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pPr>
      <w:pStyle w:val="Header"/>
      <w:ind w:left="1800"/>
      <w:jc w:val="right"/>
    </w:pPr>
    <w:r>
      <w:t xml:space="preserve">Phone: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356-0060</w:t>
        </w:r>
      </w:smartTag>
    </w:smartTag>
    <w:r>
      <w:t xml:space="preserve">, Fax: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356-0067</w:t>
        </w:r>
      </w:smartTag>
    </w:smartTag>
    <w:r>
      <w:t xml:space="preserve">, E-mail: </w:t>
    </w:r>
    <w:smartTag w:uri="urn:schemas-microsoft-com:office:smarttags" w:element="PersonName">
      <w:r>
        <w:t>naesb</w:t>
      </w:r>
    </w:smartTag>
    <w:r>
      <w:t>@</w:t>
    </w:r>
    <w:smartTag w:uri="urn:schemas-microsoft-com:office:smarttags" w:element="PersonName">
      <w:r>
        <w:t>naesb</w:t>
      </w:r>
    </w:smartTag>
    <w:r>
      <w:t>.org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p>
    <w:pPr>
      <w:spacing w:before="240"/>
      <w:jc w:val="center"/>
      <w:rPr>
        <w:b/>
        <w:smallCaps/>
      </w:rPr>
    </w:pPr>
    <w:r>
      <w:rPr>
        <w:b/>
        <w:smallCaps/>
      </w:rPr>
      <w:t>Conference Calling and Web Conferencing Details</w:t>
    </w:r>
  </w:p>
  <w:p>
    <w:pPr>
      <w:spacing w:before="120"/>
      <w:jc w:val="center"/>
      <w:rPr>
        <w:b/>
        <w:smallCaps/>
      </w:rPr>
    </w:pPr>
    <w:r>
      <w:rPr>
        <w:b/>
        <w:smallCaps/>
      </w:rPr>
      <w:t>for the September 21-22, 2011 Set of Board and Related Meetings:</w:t>
    </w:r>
  </w:p>
  <w:p>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7" type="#_x0000_t75" style="position:absolute;margin-left:-2.05pt;margin-top:-.75pt;width:77.25pt;height:72.75pt;z-index:-1;visibility:visible">
          <v:imagedata r:id="rId1" o:title="" cropbottom="15862f" cropright="28639f"/>
        </v:shape>
      </w:pict>
    </w:r>
    <w:r>
      <w:rPr>
        <w:noProof/>
      </w:rPr>
      <w:pict>
        <v:rect id="_x0000_s2058" style="position:absolute;margin-left:-1.85pt;margin-top:.95pt;width:3.55pt;height:11.5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Ry+m+qwIAAKYFAAAOAAAAAAAAAAAA&#10;AAAAAC4CAABkcnMvZTJvRG9jLnhtbFBLAQItABQABgAIAAAAIQCJ5XFJ3AAAAAUBAAAPAAAAAAAA&#10;AAAAAAAAAAUFAABkcnMvZG93bnJldi54bWxQSwUGAAAAAAQABADzAAAADgYAAAAA&#10;" filled="f" stroked="f">
          <v:textbox inset="0,0,0,0">
            <w:txbxContent>
              <w:p/>
            </w:txbxContent>
          </v:textbox>
        </v:rect>
      </w:pict>
    </w: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r>
          <w:t>Houston</w:t>
        </w:r>
      </w:smartTag>
      <w:r>
        <w:t xml:space="preserve">, </w:t>
      </w:r>
      <w:smartTag w:uri="urn:schemas-microsoft-com:office:smarttags" w:element="PersonName">
        <w:r>
          <w:t>Texas</w:t>
        </w:r>
      </w:smartTag>
      <w:r>
        <w:t xml:space="preserve"> </w:t>
      </w:r>
      <w:smartTag w:uri="urn:schemas-microsoft-com:office:smarttags" w:element="PersonName">
        <w:r>
          <w:t>77002</w:t>
        </w:r>
      </w:smartTag>
    </w:smartTag>
  </w:p>
  <w:p>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8">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4">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3"/>
  </w:num>
  <w:num w:numId="2">
    <w:abstractNumId w:val="15"/>
  </w:num>
  <w:num w:numId="3">
    <w:abstractNumId w:val="1"/>
  </w:num>
  <w:num w:numId="4">
    <w:abstractNumId w:val="27"/>
  </w:num>
  <w:num w:numId="5">
    <w:abstractNumId w:val="2"/>
  </w:num>
  <w:num w:numId="6">
    <w:abstractNumId w:val="10"/>
  </w:num>
  <w:num w:numId="7">
    <w:abstractNumId w:val="4"/>
  </w:num>
  <w:num w:numId="8">
    <w:abstractNumId w:val="20"/>
  </w:num>
  <w:num w:numId="9">
    <w:abstractNumId w:val="24"/>
  </w:num>
  <w:num w:numId="10">
    <w:abstractNumId w:val="30"/>
  </w:num>
  <w:num w:numId="11">
    <w:abstractNumId w:val="3"/>
  </w:num>
  <w:num w:numId="12">
    <w:abstractNumId w:val="9"/>
  </w:num>
  <w:num w:numId="13">
    <w:abstractNumId w:val="29"/>
  </w:num>
  <w:num w:numId="14">
    <w:abstractNumId w:val="7"/>
  </w:num>
  <w:num w:numId="15">
    <w:abstractNumId w:val="5"/>
  </w:num>
  <w:num w:numId="16">
    <w:abstractNumId w:val="19"/>
  </w:num>
  <w:num w:numId="17">
    <w:abstractNumId w:val="12"/>
  </w:num>
  <w:num w:numId="18">
    <w:abstractNumId w:val="0"/>
  </w:num>
  <w:num w:numId="19">
    <w:abstractNumId w:val="25"/>
  </w:num>
  <w:num w:numId="20">
    <w:abstractNumId w:val="17"/>
  </w:num>
  <w:num w:numId="21">
    <w:abstractNumId w:val="22"/>
  </w:num>
  <w:num w:numId="22">
    <w:abstractNumId w:val="18"/>
  </w:num>
  <w:num w:numId="23">
    <w:abstractNumId w:val="28"/>
  </w:num>
  <w:num w:numId="24">
    <w:abstractNumId w:val="8"/>
  </w:num>
  <w:num w:numId="25">
    <w:abstractNumId w:val="23"/>
  </w:num>
  <w:num w:numId="26">
    <w:abstractNumId w:val="6"/>
  </w:num>
  <w:num w:numId="27">
    <w:abstractNumId w:val="11"/>
  </w:num>
  <w:num w:numId="28">
    <w:abstractNumId w:val="26"/>
  </w:num>
  <w:num w:numId="29">
    <w:abstractNumId w:val="21"/>
  </w:num>
  <w:num w:numId="30">
    <w:abstractNumId w:val="1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Pr>
      <w:rFonts w:cs="Times New Roman"/>
      <w:color w:val="0000FF"/>
      <w:u w:val="single"/>
    </w:rPr>
  </w:style>
  <w:style w:type="character" w:styleId="PageNumber">
    <w:name w:val="page number"/>
    <w:uiPriority w:val="99"/>
    <w:rPr>
      <w:rFonts w:cs="Times New Roman"/>
    </w:rPr>
  </w:style>
  <w:style w:type="character" w:styleId="FollowedHyperlink">
    <w:name w:val="FollowedHyperlink"/>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Pr>
      <w:rFonts w:cs="Times New Roman"/>
      <w:b/>
      <w:bCs/>
    </w:rPr>
  </w:style>
  <w:style w:type="paragraph" w:styleId="BodyText">
    <w:name w:val="Body Text"/>
    <w:basedOn w:val="Normal"/>
    <w:link w:val="BodyTextChar"/>
    <w:uiPriority w:val="99"/>
    <w:rPr>
      <w:sz w:val="24"/>
    </w:rPr>
  </w:style>
  <w:style w:type="character" w:customStyle="1" w:styleId="BodyTextChar">
    <w:name w:val="Body Text Char"/>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locked/>
    <w:rPr>
      <w:rFonts w:cs="Times New Roman"/>
    </w:rPr>
  </w:style>
  <w:style w:type="character" w:styleId="FootnoteReference">
    <w:name w:val="footnote reference"/>
    <w:uiPriority w:val="99"/>
    <w:rPr>
      <w:rFonts w:cs="Times New Roman"/>
      <w:vertAlign w:val="superscript"/>
    </w:rPr>
  </w:style>
  <w:style w:type="paragraph" w:styleId="ListParagraph">
    <w:name w:val="List Paragraph"/>
    <w:basedOn w:val="Normal"/>
    <w:uiPriority w:val="99"/>
    <w:qFormat/>
    <w:pPr>
      <w:ind w:left="720"/>
    </w:pPr>
    <w:rPr>
      <w:rFonts w:ascii="Calibri" w:hAnsi="Calibri" w:cs="Calibri"/>
      <w:sz w:val="22"/>
      <w:szCs w:val="2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Title">
    <w:name w:val="Title"/>
    <w:basedOn w:val="Normal"/>
    <w:link w:val="TitleChar"/>
    <w:uiPriority w:val="99"/>
    <w:qFormat/>
    <w:locked/>
    <w:pPr>
      <w:widowControl w:val="0"/>
      <w:spacing w:before="100"/>
      <w:jc w:val="center"/>
    </w:pPr>
    <w:rPr>
      <w:rFonts w:ascii="Bookman Old Style" w:hAnsi="Bookman Old Style"/>
      <w:b/>
      <w:sz w:val="18"/>
    </w:rPr>
  </w:style>
  <w:style w:type="character" w:customStyle="1" w:styleId="TitleChar">
    <w:name w:val="Title Char"/>
    <w:link w:val="Title"/>
    <w:uiPriority w:val="99"/>
    <w:locked/>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style>
  <w:style w:type="character" w:customStyle="1" w:styleId="EndnoteTextChar">
    <w:name w:val="Endnote Text Char"/>
    <w:link w:val="EndnoteText"/>
    <w:uiPriority w:val="99"/>
    <w:semiHidden/>
    <w:locked/>
    <w:rPr>
      <w:rFonts w:cs="Times New Roman"/>
      <w:sz w:val="20"/>
      <w:szCs w:val="20"/>
    </w:rPr>
  </w:style>
  <w:style w:type="character" w:styleId="EndnoteReference">
    <w:name w:val="endnote reference"/>
    <w:uiPriority w:val="99"/>
    <w:semiHidden/>
    <w:rPr>
      <w:rFonts w:cs="Times New Roman"/>
      <w:vertAlign w:val="superscript"/>
    </w:rPr>
  </w:style>
  <w:style w:type="paragraph" w:styleId="PlainText">
    <w:name w:val="Plain Text"/>
    <w:basedOn w:val="Normal"/>
    <w:link w:val="PlainTextChar"/>
    <w:uiPriority w:val="99"/>
    <w:rPr>
      <w:szCs w:val="21"/>
    </w:rPr>
  </w:style>
  <w:style w:type="character" w:customStyle="1" w:styleId="PlainTextChar">
    <w:name w:val="Plain Text Char"/>
    <w:link w:val="PlainText"/>
    <w:uiPriority w:val="99"/>
    <w:locked/>
    <w:rPr>
      <w:rFonts w:eastAsia="Times New Roman"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390784">
      <w:marLeft w:val="0"/>
      <w:marRight w:val="0"/>
      <w:marTop w:val="0"/>
      <w:marBottom w:val="0"/>
      <w:divBdr>
        <w:top w:val="none" w:sz="0" w:space="0" w:color="auto"/>
        <w:left w:val="none" w:sz="0" w:space="0" w:color="auto"/>
        <w:bottom w:val="none" w:sz="0" w:space="0" w:color="auto"/>
        <w:right w:val="none" w:sz="0" w:space="0" w:color="auto"/>
      </w:divBdr>
    </w:div>
    <w:div w:id="1554390785">
      <w:marLeft w:val="0"/>
      <w:marRight w:val="0"/>
      <w:marTop w:val="0"/>
      <w:marBottom w:val="0"/>
      <w:divBdr>
        <w:top w:val="none" w:sz="0" w:space="0" w:color="auto"/>
        <w:left w:val="none" w:sz="0" w:space="0" w:color="auto"/>
        <w:bottom w:val="none" w:sz="0" w:space="0" w:color="auto"/>
        <w:right w:val="none" w:sz="0" w:space="0" w:color="auto"/>
      </w:divBdr>
    </w:div>
    <w:div w:id="1554390786">
      <w:marLeft w:val="0"/>
      <w:marRight w:val="0"/>
      <w:marTop w:val="0"/>
      <w:marBottom w:val="0"/>
      <w:divBdr>
        <w:top w:val="none" w:sz="0" w:space="0" w:color="auto"/>
        <w:left w:val="none" w:sz="0" w:space="0" w:color="auto"/>
        <w:bottom w:val="none" w:sz="0" w:space="0" w:color="auto"/>
        <w:right w:val="none" w:sz="0" w:space="0" w:color="auto"/>
      </w:divBdr>
    </w:div>
    <w:div w:id="1554390787">
      <w:marLeft w:val="0"/>
      <w:marRight w:val="0"/>
      <w:marTop w:val="0"/>
      <w:marBottom w:val="0"/>
      <w:divBdr>
        <w:top w:val="none" w:sz="0" w:space="0" w:color="auto"/>
        <w:left w:val="none" w:sz="0" w:space="0" w:color="auto"/>
        <w:bottom w:val="none" w:sz="0" w:space="0" w:color="auto"/>
        <w:right w:val="none" w:sz="0" w:space="0" w:color="auto"/>
      </w:divBdr>
    </w:div>
    <w:div w:id="1554390788">
      <w:marLeft w:val="0"/>
      <w:marRight w:val="0"/>
      <w:marTop w:val="0"/>
      <w:marBottom w:val="0"/>
      <w:divBdr>
        <w:top w:val="none" w:sz="0" w:space="0" w:color="auto"/>
        <w:left w:val="none" w:sz="0" w:space="0" w:color="auto"/>
        <w:bottom w:val="none" w:sz="0" w:space="0" w:color="auto"/>
        <w:right w:val="none" w:sz="0" w:space="0" w:color="auto"/>
      </w:divBdr>
    </w:div>
    <w:div w:id="1554390791">
      <w:marLeft w:val="0"/>
      <w:marRight w:val="0"/>
      <w:marTop w:val="0"/>
      <w:marBottom w:val="0"/>
      <w:divBdr>
        <w:top w:val="none" w:sz="0" w:space="0" w:color="auto"/>
        <w:left w:val="none" w:sz="0" w:space="0" w:color="auto"/>
        <w:bottom w:val="none" w:sz="0" w:space="0" w:color="auto"/>
        <w:right w:val="none" w:sz="0" w:space="0" w:color="auto"/>
      </w:divBdr>
    </w:div>
    <w:div w:id="1554390793">
      <w:marLeft w:val="0"/>
      <w:marRight w:val="0"/>
      <w:marTop w:val="0"/>
      <w:marBottom w:val="0"/>
      <w:divBdr>
        <w:top w:val="none" w:sz="0" w:space="0" w:color="auto"/>
        <w:left w:val="none" w:sz="0" w:space="0" w:color="auto"/>
        <w:bottom w:val="none" w:sz="0" w:space="0" w:color="auto"/>
        <w:right w:val="none" w:sz="0" w:space="0" w:color="auto"/>
      </w:divBdr>
    </w:div>
    <w:div w:id="1554390794">
      <w:marLeft w:val="0"/>
      <w:marRight w:val="0"/>
      <w:marTop w:val="0"/>
      <w:marBottom w:val="0"/>
      <w:divBdr>
        <w:top w:val="none" w:sz="0" w:space="0" w:color="auto"/>
        <w:left w:val="none" w:sz="0" w:space="0" w:color="auto"/>
        <w:bottom w:val="none" w:sz="0" w:space="0" w:color="auto"/>
        <w:right w:val="none" w:sz="0" w:space="0" w:color="auto"/>
      </w:divBdr>
    </w:div>
    <w:div w:id="1554390795">
      <w:marLeft w:val="0"/>
      <w:marRight w:val="0"/>
      <w:marTop w:val="0"/>
      <w:marBottom w:val="0"/>
      <w:divBdr>
        <w:top w:val="none" w:sz="0" w:space="0" w:color="auto"/>
        <w:left w:val="none" w:sz="0" w:space="0" w:color="auto"/>
        <w:bottom w:val="none" w:sz="0" w:space="0" w:color="auto"/>
        <w:right w:val="none" w:sz="0" w:space="0" w:color="auto"/>
      </w:divBdr>
    </w:div>
    <w:div w:id="1554390796">
      <w:marLeft w:val="0"/>
      <w:marRight w:val="0"/>
      <w:marTop w:val="0"/>
      <w:marBottom w:val="0"/>
      <w:divBdr>
        <w:top w:val="none" w:sz="0" w:space="0" w:color="auto"/>
        <w:left w:val="none" w:sz="0" w:space="0" w:color="auto"/>
        <w:bottom w:val="none" w:sz="0" w:space="0" w:color="auto"/>
        <w:right w:val="none" w:sz="0" w:space="0" w:color="auto"/>
      </w:divBdr>
    </w:div>
    <w:div w:id="1554390797">
      <w:marLeft w:val="0"/>
      <w:marRight w:val="0"/>
      <w:marTop w:val="0"/>
      <w:marBottom w:val="0"/>
      <w:divBdr>
        <w:top w:val="none" w:sz="0" w:space="0" w:color="auto"/>
        <w:left w:val="none" w:sz="0" w:space="0" w:color="auto"/>
        <w:bottom w:val="none" w:sz="0" w:space="0" w:color="auto"/>
        <w:right w:val="none" w:sz="0" w:space="0" w:color="auto"/>
      </w:divBdr>
    </w:div>
    <w:div w:id="1554390799">
      <w:marLeft w:val="0"/>
      <w:marRight w:val="0"/>
      <w:marTop w:val="0"/>
      <w:marBottom w:val="0"/>
      <w:divBdr>
        <w:top w:val="none" w:sz="0" w:space="0" w:color="auto"/>
        <w:left w:val="none" w:sz="0" w:space="0" w:color="auto"/>
        <w:bottom w:val="none" w:sz="0" w:space="0" w:color="auto"/>
        <w:right w:val="none" w:sz="0" w:space="0" w:color="auto"/>
      </w:divBdr>
      <w:divsChild>
        <w:div w:id="1554390800">
          <w:marLeft w:val="0"/>
          <w:marRight w:val="0"/>
          <w:marTop w:val="0"/>
          <w:marBottom w:val="0"/>
          <w:divBdr>
            <w:top w:val="none" w:sz="0" w:space="0" w:color="auto"/>
            <w:left w:val="none" w:sz="0" w:space="0" w:color="auto"/>
            <w:bottom w:val="none" w:sz="0" w:space="0" w:color="auto"/>
            <w:right w:val="none" w:sz="0" w:space="0" w:color="auto"/>
          </w:divBdr>
        </w:div>
      </w:divsChild>
    </w:div>
    <w:div w:id="1554390801">
      <w:marLeft w:val="0"/>
      <w:marRight w:val="0"/>
      <w:marTop w:val="0"/>
      <w:marBottom w:val="0"/>
      <w:divBdr>
        <w:top w:val="none" w:sz="0" w:space="0" w:color="auto"/>
        <w:left w:val="none" w:sz="0" w:space="0" w:color="auto"/>
        <w:bottom w:val="none" w:sz="0" w:space="0" w:color="auto"/>
        <w:right w:val="none" w:sz="0" w:space="0" w:color="auto"/>
      </w:divBdr>
    </w:div>
    <w:div w:id="1554390803">
      <w:marLeft w:val="0"/>
      <w:marRight w:val="0"/>
      <w:marTop w:val="0"/>
      <w:marBottom w:val="0"/>
      <w:divBdr>
        <w:top w:val="none" w:sz="0" w:space="0" w:color="auto"/>
        <w:left w:val="none" w:sz="0" w:space="0" w:color="auto"/>
        <w:bottom w:val="none" w:sz="0" w:space="0" w:color="auto"/>
        <w:right w:val="none" w:sz="0" w:space="0" w:color="auto"/>
      </w:divBdr>
      <w:divsChild>
        <w:div w:id="1554390805">
          <w:marLeft w:val="0"/>
          <w:marRight w:val="0"/>
          <w:marTop w:val="0"/>
          <w:marBottom w:val="0"/>
          <w:divBdr>
            <w:top w:val="none" w:sz="0" w:space="0" w:color="auto"/>
            <w:left w:val="none" w:sz="0" w:space="0" w:color="auto"/>
            <w:bottom w:val="none" w:sz="0" w:space="0" w:color="auto"/>
            <w:right w:val="none" w:sz="0" w:space="0" w:color="auto"/>
          </w:divBdr>
        </w:div>
      </w:divsChild>
    </w:div>
    <w:div w:id="1554390804">
      <w:marLeft w:val="0"/>
      <w:marRight w:val="0"/>
      <w:marTop w:val="0"/>
      <w:marBottom w:val="0"/>
      <w:divBdr>
        <w:top w:val="none" w:sz="0" w:space="0" w:color="auto"/>
        <w:left w:val="none" w:sz="0" w:space="0" w:color="auto"/>
        <w:bottom w:val="none" w:sz="0" w:space="0" w:color="auto"/>
        <w:right w:val="none" w:sz="0" w:space="0" w:color="auto"/>
      </w:divBdr>
    </w:div>
    <w:div w:id="1554390806">
      <w:marLeft w:val="0"/>
      <w:marRight w:val="0"/>
      <w:marTop w:val="0"/>
      <w:marBottom w:val="0"/>
      <w:divBdr>
        <w:top w:val="none" w:sz="0" w:space="0" w:color="auto"/>
        <w:left w:val="none" w:sz="0" w:space="0" w:color="auto"/>
        <w:bottom w:val="none" w:sz="0" w:space="0" w:color="auto"/>
        <w:right w:val="none" w:sz="0" w:space="0" w:color="auto"/>
      </w:divBdr>
      <w:divsChild>
        <w:div w:id="1554390789">
          <w:marLeft w:val="0"/>
          <w:marRight w:val="0"/>
          <w:marTop w:val="0"/>
          <w:marBottom w:val="0"/>
          <w:divBdr>
            <w:top w:val="none" w:sz="0" w:space="0" w:color="auto"/>
            <w:left w:val="none" w:sz="0" w:space="0" w:color="auto"/>
            <w:bottom w:val="none" w:sz="0" w:space="0" w:color="auto"/>
            <w:right w:val="none" w:sz="0" w:space="0" w:color="auto"/>
          </w:divBdr>
        </w:div>
        <w:div w:id="1554390790">
          <w:marLeft w:val="0"/>
          <w:marRight w:val="0"/>
          <w:marTop w:val="0"/>
          <w:marBottom w:val="0"/>
          <w:divBdr>
            <w:top w:val="none" w:sz="0" w:space="0" w:color="auto"/>
            <w:left w:val="none" w:sz="0" w:space="0" w:color="auto"/>
            <w:bottom w:val="none" w:sz="0" w:space="0" w:color="auto"/>
            <w:right w:val="none" w:sz="0" w:space="0" w:color="auto"/>
          </w:divBdr>
        </w:div>
        <w:div w:id="1554390792">
          <w:marLeft w:val="0"/>
          <w:marRight w:val="0"/>
          <w:marTop w:val="0"/>
          <w:marBottom w:val="0"/>
          <w:divBdr>
            <w:top w:val="none" w:sz="0" w:space="0" w:color="auto"/>
            <w:left w:val="none" w:sz="0" w:space="0" w:color="auto"/>
            <w:bottom w:val="none" w:sz="0" w:space="0" w:color="auto"/>
            <w:right w:val="none" w:sz="0" w:space="0" w:color="auto"/>
          </w:divBdr>
        </w:div>
        <w:div w:id="1554390798">
          <w:marLeft w:val="0"/>
          <w:marRight w:val="0"/>
          <w:marTop w:val="0"/>
          <w:marBottom w:val="0"/>
          <w:divBdr>
            <w:top w:val="none" w:sz="0" w:space="0" w:color="auto"/>
            <w:left w:val="none" w:sz="0" w:space="0" w:color="auto"/>
            <w:bottom w:val="none" w:sz="0" w:space="0" w:color="auto"/>
            <w:right w:val="none" w:sz="0" w:space="0" w:color="auto"/>
          </w:divBdr>
        </w:div>
        <w:div w:id="1554390802">
          <w:marLeft w:val="0"/>
          <w:marRight w:val="0"/>
          <w:marTop w:val="0"/>
          <w:marBottom w:val="0"/>
          <w:divBdr>
            <w:top w:val="none" w:sz="0" w:space="0" w:color="auto"/>
            <w:left w:val="none" w:sz="0" w:space="0" w:color="auto"/>
            <w:bottom w:val="none" w:sz="0" w:space="0" w:color="auto"/>
            <w:right w:val="none" w:sz="0" w:space="0" w:color="auto"/>
          </w:divBdr>
        </w:div>
      </w:divsChild>
    </w:div>
    <w:div w:id="1554390807">
      <w:marLeft w:val="0"/>
      <w:marRight w:val="0"/>
      <w:marTop w:val="0"/>
      <w:marBottom w:val="0"/>
      <w:divBdr>
        <w:top w:val="none" w:sz="0" w:space="0" w:color="auto"/>
        <w:left w:val="none" w:sz="0" w:space="0" w:color="auto"/>
        <w:bottom w:val="none" w:sz="0" w:space="0" w:color="auto"/>
        <w:right w:val="none" w:sz="0" w:space="0" w:color="auto"/>
      </w:divBdr>
    </w:div>
    <w:div w:id="1554390809">
      <w:marLeft w:val="0"/>
      <w:marRight w:val="0"/>
      <w:marTop w:val="0"/>
      <w:marBottom w:val="0"/>
      <w:divBdr>
        <w:top w:val="none" w:sz="0" w:space="0" w:color="auto"/>
        <w:left w:val="none" w:sz="0" w:space="0" w:color="auto"/>
        <w:bottom w:val="none" w:sz="0" w:space="0" w:color="auto"/>
        <w:right w:val="none" w:sz="0" w:space="0" w:color="auto"/>
      </w:divBdr>
      <w:divsChild>
        <w:div w:id="1554390808">
          <w:marLeft w:val="0"/>
          <w:marRight w:val="0"/>
          <w:marTop w:val="0"/>
          <w:marBottom w:val="0"/>
          <w:divBdr>
            <w:top w:val="none" w:sz="0" w:space="0" w:color="auto"/>
            <w:left w:val="none" w:sz="0" w:space="0" w:color="auto"/>
            <w:bottom w:val="none" w:sz="0" w:space="0" w:color="auto"/>
            <w:right w:val="none" w:sz="0" w:space="0" w:color="auto"/>
          </w:divBdr>
        </w:div>
      </w:divsChild>
    </w:div>
    <w:div w:id="1554390810">
      <w:marLeft w:val="0"/>
      <w:marRight w:val="0"/>
      <w:marTop w:val="0"/>
      <w:marBottom w:val="0"/>
      <w:divBdr>
        <w:top w:val="none" w:sz="0" w:space="0" w:color="auto"/>
        <w:left w:val="none" w:sz="0" w:space="0" w:color="auto"/>
        <w:bottom w:val="none" w:sz="0" w:space="0" w:color="auto"/>
        <w:right w:val="none" w:sz="0" w:space="0" w:color="auto"/>
      </w:divBdr>
    </w:div>
    <w:div w:id="1554390811">
      <w:marLeft w:val="0"/>
      <w:marRight w:val="0"/>
      <w:marTop w:val="0"/>
      <w:marBottom w:val="0"/>
      <w:divBdr>
        <w:top w:val="none" w:sz="0" w:space="0" w:color="auto"/>
        <w:left w:val="none" w:sz="0" w:space="0" w:color="auto"/>
        <w:bottom w:val="none" w:sz="0" w:space="0" w:color="auto"/>
        <w:right w:val="none" w:sz="0" w:space="0" w:color="auto"/>
      </w:divBdr>
    </w:div>
    <w:div w:id="1554390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NAESB%20Files\Board%20of%20Directors\Meetings\12-8-11%20Houston\Agendas%20and%20announcements\brd_geharm@naesblist.org" TargetMode="Externa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yperlink" Target="http://www.naesb.org/misc/nerc_primer_gas_electric_interdependency_nov2011.pdf" TargetMode="External"/><Relationship Id="rId39" Type="http://schemas.openxmlformats.org/officeDocument/2006/relationships/hyperlink" Target="http://www.aga.org/Kc/aboutnaturalgas/consumerinfo/Pages/NGDeliverySystem.aspx" TargetMode="External"/><Relationship Id="rId3" Type="http://schemas.microsoft.com/office/2007/relationships/stylesWithEffects" Target="stylesWithEffects.xml"/><Relationship Id="rId21" Type="http://schemas.openxmlformats.org/officeDocument/2006/relationships/hyperlink" Target="http://www.ferc.gov/legal/staff-reports/08-16-11-report.pdf" TargetMode="External"/><Relationship Id="rId34" Type="http://schemas.openxmlformats.org/officeDocument/2006/relationships/hyperlink" Target="http://www.nerc.com/files/NUC-001-2.pdf" TargetMode="External"/><Relationship Id="rId42"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vjcrockett@tva.gov" TargetMode="External"/><Relationship Id="rId17" Type="http://schemas.openxmlformats.org/officeDocument/2006/relationships/header" Target="header4.xml"/><Relationship Id="rId25" Type="http://schemas.openxmlformats.org/officeDocument/2006/relationships/hyperlink" Target="http://www.naesb.org/misc/electric_infrastructure_gas_infrastructure_oct2011.pdf" TargetMode="External"/><Relationship Id="rId33" Type="http://schemas.openxmlformats.org/officeDocument/2006/relationships/hyperlink" Target="http://www.naesb.org/misc/icf_geic_primer062206.pdf" TargetMode="External"/><Relationship Id="rId38" Type="http://schemas.openxmlformats.org/officeDocument/2006/relationships/hyperlink" Target="http://www.ferc.gov/media/news-releases/2012/2012-1/01-30-12-notice.pdf"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web.mit.edu/mitei/research/studies/documents/natural-gas-2011/NaturalGas_Report.pdf" TargetMode="External"/><Relationship Id="rId29" Type="http://schemas.openxmlformats.org/officeDocument/2006/relationships/hyperlink" Target="http://www.naesb.org/misc/npc_demand_chapter_091511.pdf" TargetMode="External"/><Relationship Id="rId41" Type="http://schemas.openxmlformats.org/officeDocument/2006/relationships/hyperlink" Target="http://www.naesb.org/misc/ingaa_final_comments_electric_reliability_technical_conference.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desselle@spp.org" TargetMode="External"/><Relationship Id="rId24" Type="http://schemas.openxmlformats.org/officeDocument/2006/relationships/hyperlink" Target="http://www.naesb.org/misc/geh_related_standards.docx" TargetMode="External"/><Relationship Id="rId32" Type="http://schemas.openxmlformats.org/officeDocument/2006/relationships/hyperlink" Target="http://media.godashboard.com/gti/Natural_Gas_in_a_Smart_Energy_Future_01-26-2011.pdf" TargetMode="External"/><Relationship Id="rId37" Type="http://schemas.openxmlformats.org/officeDocument/2006/relationships/hyperlink" Target="http://www2.econ.iastate.edu/tesfatsi/ERCOT.DefinitionsAcronyms.Oct2011.pdf" TargetMode="External"/><Relationship Id="rId40" Type="http://schemas.openxmlformats.org/officeDocument/2006/relationships/hyperlink" Target="http://www.ferc.gov/about/com-mem/moeller/moellergaselectricletter.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publicpower.org/files/PDFs/ImplicationsOfGreaterRelianceOnNGforElectricityGeneration.pdf" TargetMode="External"/><Relationship Id="rId28" Type="http://schemas.openxmlformats.org/officeDocument/2006/relationships/hyperlink" Target="http://www.naesb.org/misc/npc_north_american_resource_dev_exec_summ_volume_dec2011.pdf" TargetMode="External"/><Relationship Id="rId36" Type="http://schemas.openxmlformats.org/officeDocument/2006/relationships/hyperlink" Target="http://205.254.135.7/naturalgas/review/print_version.cfm" TargetMode="External"/><Relationship Id="rId10" Type="http://schemas.openxmlformats.org/officeDocument/2006/relationships/hyperlink" Target="mailto:rmcquade@naesb.org" TargetMode="External"/><Relationship Id="rId19" Type="http://schemas.openxmlformats.org/officeDocument/2006/relationships/hyperlink" Target="http://web.mit.edu/mitei/research/studies/documents/electric-grid-2011/Electric_Grid_Full_Report.pdf" TargetMode="External"/><Relationship Id="rId31" Type="http://schemas.openxmlformats.org/officeDocument/2006/relationships/hyperlink" Target="http://www.nerc.com/files/Gas_Electric_Interdependencies_Phase_I.pdf" TargetMode="Externa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naesb.org/board_gas_electric_harmonization.asp" TargetMode="External"/><Relationship Id="rId14" Type="http://schemas.openxmlformats.org/officeDocument/2006/relationships/footer" Target="footer1.xml"/><Relationship Id="rId22" Type="http://schemas.openxmlformats.org/officeDocument/2006/relationships/hyperlink" Target="http://www.ingaa.org/File.aspx?id=14911" TargetMode="External"/><Relationship Id="rId27" Type="http://schemas.openxmlformats.org/officeDocument/2006/relationships/hyperlink" Target="http://www.naesb.org/misc/nerc_gas_electricity_interdependencies_2004.pdf" TargetMode="External"/><Relationship Id="rId30" Type="http://schemas.openxmlformats.org/officeDocument/2006/relationships/hyperlink" Target="http://www.naesb.org/misc/naesb_bylaws_section2.2_best_practices.pptx" TargetMode="External"/><Relationship Id="rId35" Type="http://schemas.openxmlformats.org/officeDocument/2006/relationships/hyperlink" Target="http://205.254.135.7/naturalgas/review/" TargetMode="External"/><Relationship Id="rId43" Type="http://schemas.openxmlformats.org/officeDocument/2006/relationships/header" Target="header7.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21</Pages>
  <Words>7108</Words>
  <Characters>40516</Characters>
  <Application>Microsoft Office Word</Application>
  <DocSecurity>0</DocSecurity>
  <Lines>337</Lines>
  <Paragraphs>95</Paragraphs>
  <ScaleCrop>false</ScaleCrop>
  <Company>NAESB</Company>
  <LinksUpToDate>false</LinksUpToDate>
  <CharactersWithSpaces>47529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subject/>
  <dc:creator>Deonne Cunningham</dc:creator>
  <cp:keywords/>
  <dc:description/>
  <cp:lastModifiedBy>Veronica Thomason</cp:lastModifiedBy>
  <cp:revision>6</cp:revision>
  <cp:lastPrinted>2012-02-05T04:13:00Z</cp:lastPrinted>
  <dcterms:created xsi:type="dcterms:W3CDTF">2012-02-23T19:49:00Z</dcterms:created>
  <dcterms:modified xsi:type="dcterms:W3CDTF">2012-02-28T14:14:00Z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