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pPr>
        <w:ind w:left="1440" w:hanging="1440"/>
        <w:jc w:val="right"/>
        <w:rPr>
          <w:bCs/>
        </w:rPr>
      </w:pPr>
      <w:r>
        <w:rPr>
          <w:bCs/>
        </w:rPr>
        <w:t>February 10, 2012</w:t>
      </w:r>
    </w:p>
    <w:p>
      <w:pPr>
        <w:spacing w:before="120"/>
        <w:ind w:left="1440" w:hanging="1440"/>
        <w:rPr>
          <w:bCs/>
        </w:rPr>
      </w:pPr>
      <w:r>
        <w:rPr>
          <w:b/>
        </w:rPr>
        <w:t xml:space="preserve">TO: </w:t>
      </w:r>
      <w:r>
        <w:rPr>
          <w:b/>
        </w:rPr>
        <w:tab/>
      </w:r>
      <w:r>
        <w:rPr>
          <w:bCs/>
        </w:rPr>
        <w:t>NAESB Board Committee – Gas Electric Harmonization and posting for interested parties</w:t>
      </w:r>
    </w:p>
    <w:p>
      <w:pPr>
        <w:spacing w:before="120"/>
        <w:rPr>
          <w:bCs/>
        </w:rPr>
      </w:pPr>
      <w:r>
        <w:rPr>
          <w:b/>
        </w:rPr>
        <w:t xml:space="preserve">FROM: </w:t>
      </w:r>
      <w:r>
        <w:rPr>
          <w:b/>
        </w:rPr>
        <w:tab/>
        <w:t>R</w:t>
      </w:r>
      <w:r>
        <w:rPr>
          <w:bCs/>
        </w:rPr>
        <w:t xml:space="preserve">ae McQuade, NAESB President </w:t>
      </w:r>
    </w:p>
    <w:p>
      <w:pPr>
        <w:pBdr>
          <w:bottom w:val="single" w:sz="12" w:space="1" w:color="auto"/>
        </w:pBdr>
        <w:spacing w:before="120"/>
        <w:ind w:left="1440" w:hanging="1440"/>
        <w:rPr>
          <w:bCs/>
        </w:rPr>
      </w:pPr>
      <w:r>
        <w:rPr>
          <w:b/>
        </w:rPr>
        <w:t xml:space="preserve">RE: </w:t>
      </w:r>
      <w:r>
        <w:rPr>
          <w:b/>
        </w:rPr>
        <w:tab/>
      </w:r>
      <w:r>
        <w:t xml:space="preserve">Announcement of Agenda </w:t>
      </w:r>
      <w:proofErr w:type="gramStart"/>
      <w:r>
        <w:t>For</w:t>
      </w:r>
      <w:proofErr w:type="gramEnd"/>
      <w:r>
        <w:t xml:space="preserve"> Planning Meeting of the Gas-Electric Harmonization Committee </w:t>
      </w:r>
    </w:p>
    <w:p>
      <w:pPr>
        <w:tabs>
          <w:tab w:val="left" w:pos="0"/>
        </w:tabs>
        <w:spacing w:before="240"/>
        <w:jc w:val="both"/>
        <w:rPr>
          <w:bCs/>
        </w:rPr>
      </w:pPr>
      <w:r>
        <w:rPr>
          <w:bCs/>
        </w:rPr>
        <w:t>Dear Committee Members,</w:t>
      </w:r>
    </w:p>
    <w:p>
      <w:pPr>
        <w:spacing w:before="120"/>
      </w:pPr>
      <w:r>
        <w:t>As noted in various email communications and posting on our NAESB web site, we have scheduled a planning conference call on February 15  at 1:00 pm C,  to begin addressing issues raised in the NPC report and other energy industry actions related to gas-electric harmonization.</w:t>
      </w:r>
    </w:p>
    <w:p>
      <w:pPr>
        <w:spacing w:before="120"/>
        <w:rPr>
          <w:rStyle w:val="Strong"/>
          <w:b w:val="0"/>
        </w:rPr>
      </w:pPr>
      <w:r>
        <w:rPr>
          <w:bCs/>
        </w:rPr>
        <w:t xml:space="preserve">The agenda follows, as do the instructions for joining the call/web cast. Links to the framework document, which includes a list of background documents, excerpts from those documents, proposed  teams with committee members identified for each team, and team assignments linked back to the excerpts from existing documents.  The </w:t>
      </w:r>
      <w:proofErr w:type="gramStart"/>
      <w:r>
        <w:rPr>
          <w:bCs/>
        </w:rPr>
        <w:t>list of background documents in the work paper is quite extensive, and if you have others that should be considered, please forward</w:t>
      </w:r>
      <w:proofErr w:type="gramEnd"/>
      <w:r>
        <w:rPr>
          <w:bCs/>
        </w:rPr>
        <w:t xml:space="preserve"> them for inclusion. As with all our meetings, these events are open to any interested party.  Attendance is not restricted to the committee members.  Please contact Veronica Thomason (vthomason@naesb.org, 713-356-0060) should you need additional information.</w:t>
      </w:r>
    </w:p>
    <w:p>
      <w:pPr>
        <w:spacing w:before="120"/>
      </w:pPr>
      <w:r>
        <w:t>We have an exploder list set up for the committee members (</w:t>
      </w:r>
      <w:hyperlink r:id="rId9" w:history="1">
        <w:r>
          <w:rPr>
            <w:rStyle w:val="Hyperlink"/>
          </w:rPr>
          <w:t>brd_geharm@naesblist.org</w:t>
        </w:r>
      </w:hyperlink>
      <w:r>
        <w:t>), and a distribution list for sending out notices and work papers, of which the committee members are already included.  Should any interested party wish to join the distribution list for the Board Committee on Gas-Electric Harmonization, please contact the NAESB office.  We have a roster of committee members posted on the web site (</w:t>
      </w:r>
      <w:hyperlink r:id="rId10" w:history="1">
        <w:r>
          <w:rPr>
            <w:rStyle w:val="Hyperlink"/>
          </w:rPr>
          <w:t>http://www.naesb.org/pdf4/board_gas_electric_harmonization_members.pdf</w:t>
        </w:r>
      </w:hyperlink>
      <w:r>
        <w:t>), and we have a page set up for the calendar of meetings and materials (</w:t>
      </w:r>
      <w:hyperlink r:id="rId11" w:history="1">
        <w:r>
          <w:rPr>
            <w:rStyle w:val="Hyperlink"/>
          </w:rPr>
          <w:t>http://www.naesb.org/board_gas_electric_harmonization.asp</w:t>
        </w:r>
      </w:hyperlink>
      <w:r>
        <w:t>).</w:t>
      </w:r>
    </w:p>
    <w:p>
      <w:pPr>
        <w:spacing w:before="120"/>
      </w:pPr>
      <w:r>
        <w:t>Feel free to call me (</w:t>
      </w:r>
      <w:hyperlink r:id="rId12" w:history="1">
        <w:r>
          <w:rPr>
            <w:rStyle w:val="Hyperlink"/>
          </w:rPr>
          <w:t>rmcquade@naesb.org</w:t>
        </w:r>
      </w:hyperlink>
      <w:r>
        <w:t>, 713-356-0060), Michael (</w:t>
      </w:r>
      <w:hyperlink r:id="rId13" w:history="1">
        <w:r>
          <w:rPr>
            <w:rStyle w:val="Hyperlink"/>
          </w:rPr>
          <w:t>mdesselle@spp.org</w:t>
        </w:r>
      </w:hyperlink>
      <w:r>
        <w:t>, 501-614-3206) or Valerie (</w:t>
      </w:r>
      <w:hyperlink r:id="rId14" w:history="1">
        <w:r>
          <w:rPr>
            <w:rStyle w:val="Hyperlink"/>
          </w:rPr>
          <w:t>vjcrockett@tva.gov</w:t>
        </w:r>
      </w:hyperlink>
      <w:r>
        <w:t xml:space="preserve">, 423-751-6096) should you have any questions.  </w:t>
      </w:r>
    </w:p>
    <w:p>
      <w:pPr>
        <w:spacing w:before="480"/>
      </w:pPr>
      <w:r>
        <w:t xml:space="preserve">Thanks so much for devoting your time to this committee -- </w:t>
      </w:r>
    </w:p>
    <w:p>
      <w:pPr>
        <w:rPr>
          <w:rFonts w:ascii="Mistral" w:hAnsi="Mistral"/>
          <w:i/>
          <w:iCs/>
          <w:sz w:val="32"/>
          <w:szCs w:val="32"/>
        </w:rPr>
      </w:pPr>
      <w:r>
        <w:rPr>
          <w:rFonts w:ascii="Mistral" w:hAnsi="Mistral"/>
          <w:i/>
          <w:iCs/>
          <w:sz w:val="32"/>
          <w:szCs w:val="32"/>
        </w:rPr>
        <w:t xml:space="preserve">Rae </w:t>
      </w:r>
    </w:p>
    <w:p>
      <w:r>
        <w:t>Rae McQuade</w:t>
      </w:r>
    </w:p>
    <w:p>
      <w:r>
        <w:t>President, North American Energy Standards Board</w:t>
      </w:r>
    </w:p>
    <w:bookmarkEnd w:id="0"/>
    <w:bookmarkEnd w:id="1"/>
    <w:bookmarkEnd w:id="2"/>
    <w:bookmarkEnd w:id="3"/>
    <w:bookmarkEnd w:id="4"/>
    <w:bookmarkEnd w:id="5"/>
    <w:p>
      <w:pPr>
        <w:rPr>
          <w:b/>
          <w:smallCaps/>
        </w:rPr>
      </w:pPr>
      <w:r>
        <w:rPr>
          <w:b/>
          <w:smallCaps/>
        </w:rPr>
        <w:br w:type="page"/>
      </w:r>
    </w:p>
    <w:p>
      <w:pPr>
        <w:rPr>
          <w:b/>
          <w:smallCaps/>
        </w:rPr>
        <w:sectPr>
          <w:headerReference w:type="default" r:id="rId15"/>
          <w:footerReference w:type="default" r:id="rId16"/>
          <w:headerReference w:type="first" r:id="rId17"/>
          <w:pgSz w:w="12240" w:h="15840" w:code="1"/>
          <w:pgMar w:top="720" w:right="1267" w:bottom="720" w:left="1166" w:header="720" w:footer="720" w:gutter="0"/>
          <w:cols w:space="720"/>
          <w:titlePg/>
        </w:sectPr>
      </w:pPr>
    </w:p>
    <w:tbl>
      <w:tblPr>
        <w:tblW w:w="0" w:type="auto"/>
        <w:tblLook w:val="01E0" w:firstRow="1" w:lastRow="1" w:firstColumn="1" w:lastColumn="1" w:noHBand="0" w:noVBand="0"/>
      </w:tblPr>
      <w:tblGrid>
        <w:gridCol w:w="1009"/>
        <w:gridCol w:w="2159"/>
        <w:gridCol w:w="2160"/>
        <w:gridCol w:w="4695"/>
      </w:tblGrid>
      <w:tr>
        <w:tc>
          <w:tcPr>
            <w:tcW w:w="1009" w:type="dxa"/>
          </w:tcPr>
          <w:p>
            <w:pPr>
              <w:spacing w:before="240"/>
            </w:pPr>
            <w:r>
              <w:lastRenderedPageBreak/>
              <w:t>Feb 15</w:t>
            </w:r>
          </w:p>
        </w:tc>
        <w:tc>
          <w:tcPr>
            <w:tcW w:w="2159" w:type="dxa"/>
          </w:tcPr>
          <w:p>
            <w:pPr>
              <w:spacing w:before="240"/>
            </w:pPr>
            <w:r>
              <w:t>1:00 pm to 4:00 pm C</w:t>
            </w:r>
          </w:p>
        </w:tc>
        <w:tc>
          <w:tcPr>
            <w:tcW w:w="6855" w:type="dxa"/>
            <w:gridSpan w:val="2"/>
          </w:tcPr>
          <w:p>
            <w:pPr>
              <w:spacing w:before="240"/>
            </w:pPr>
            <w:r>
              <w:rPr>
                <w:bCs/>
              </w:rPr>
              <w:t xml:space="preserve">Board Committee on Gas-Electric Harmonization - </w:t>
            </w:r>
            <w:hyperlink r:id="rId18" w:history="1">
              <w:r>
                <w:rPr>
                  <w:rStyle w:val="Hyperlink"/>
                  <w:bCs/>
                </w:rPr>
                <w:t>http://www.naesb.org/board_gas_electric_harmonization.asp</w:t>
              </w:r>
            </w:hyperlink>
          </w:p>
        </w:tc>
      </w:tr>
      <w:tr>
        <w:tc>
          <w:tcPr>
            <w:tcW w:w="1009" w:type="dxa"/>
          </w:tcPr>
          <w:p>
            <w:pPr>
              <w:spacing w:before="240"/>
            </w:pPr>
          </w:p>
        </w:tc>
        <w:tc>
          <w:tcPr>
            <w:tcW w:w="2159" w:type="dxa"/>
          </w:tcPr>
          <w:p>
            <w:pPr>
              <w:spacing w:before="240"/>
            </w:pPr>
            <w:r>
              <w:t>Web Cast &amp; Conference Call</w:t>
            </w:r>
          </w:p>
        </w:tc>
        <w:tc>
          <w:tcPr>
            <w:tcW w:w="2160" w:type="dxa"/>
          </w:tcPr>
          <w:p>
            <w:pPr>
              <w:numPr>
                <w:ilvl w:val="0"/>
                <w:numId w:val="18"/>
              </w:numPr>
              <w:spacing w:before="120"/>
              <w:rPr>
                <w:bCs/>
              </w:rPr>
            </w:pPr>
            <w:r>
              <w:rPr>
                <w:bCs/>
              </w:rPr>
              <w:t xml:space="preserve">Call in number </w:t>
            </w:r>
          </w:p>
          <w:p>
            <w:pPr>
              <w:numPr>
                <w:ilvl w:val="0"/>
                <w:numId w:val="18"/>
              </w:numPr>
              <w:rPr>
                <w:bCs/>
              </w:rPr>
            </w:pPr>
            <w:r>
              <w:rPr>
                <w:bCs/>
              </w:rPr>
              <w:t xml:space="preserve">Access Code </w:t>
            </w:r>
          </w:p>
          <w:p>
            <w:pPr>
              <w:numPr>
                <w:ilvl w:val="0"/>
                <w:numId w:val="18"/>
              </w:numPr>
              <w:rPr>
                <w:bCs/>
              </w:rPr>
            </w:pPr>
            <w:r>
              <w:rPr>
                <w:bCs/>
              </w:rPr>
              <w:t>Security Code</w:t>
            </w:r>
          </w:p>
        </w:tc>
        <w:tc>
          <w:tcPr>
            <w:tcW w:w="4695" w:type="dxa"/>
          </w:tcPr>
          <w:p>
            <w:pPr>
              <w:spacing w:before="120"/>
              <w:rPr>
                <w:bCs/>
              </w:rPr>
            </w:pPr>
            <w:r>
              <w:rPr>
                <w:bCs/>
              </w:rPr>
              <w:t>866-740-1260</w:t>
            </w:r>
          </w:p>
          <w:p>
            <w:pPr>
              <w:rPr>
                <w:bCs/>
              </w:rPr>
            </w:pPr>
            <w:r>
              <w:rPr>
                <w:bCs/>
              </w:rPr>
              <w:t>7133560</w:t>
            </w:r>
          </w:p>
          <w:p>
            <w:pPr>
              <w:rPr>
                <w:bCs/>
              </w:rPr>
            </w:pPr>
            <w:r>
              <w:rPr>
                <w:bCs/>
              </w:rPr>
              <w:t>6425</w:t>
            </w:r>
          </w:p>
        </w:tc>
      </w:tr>
    </w:tbl>
    <w:p>
      <w:pPr>
        <w:keepNext/>
        <w:spacing w:before="480"/>
      </w:pPr>
      <w:r>
        <w:t>To join a conference call:</w:t>
      </w:r>
    </w:p>
    <w:p>
      <w:r>
        <w:t>•</w:t>
      </w:r>
      <w:r>
        <w:tab/>
        <w:t>Dial the 11-digit toll free call-in phone number shown above for the specific meetings</w:t>
      </w:r>
    </w:p>
    <w:p>
      <w:r>
        <w:t>•</w:t>
      </w:r>
      <w:r>
        <w:tab/>
        <w:t>An automated attendant will ask you to enter a seven-digit access code (shown in the table above)</w:t>
      </w:r>
    </w:p>
    <w:p>
      <w:r>
        <w:t>•</w:t>
      </w:r>
      <w:r>
        <w:tab/>
        <w:t>The automated attendant will ask you to record your name.</w:t>
      </w:r>
    </w:p>
    <w:p>
      <w:pPr>
        <w:ind w:left="720" w:hanging="720"/>
      </w:pPr>
      <w:r>
        <w:t>•</w:t>
      </w:r>
      <w:r>
        <w:tab/>
        <w:t>Please note that if the conference leader has not yet initiated the conference call, you will be placed on music hold until the conference leader starts the conference.</w:t>
      </w:r>
    </w:p>
    <w:p>
      <w:r>
        <w:t>•</w:t>
      </w:r>
      <w:r>
        <w:rPr>
          <w:b/>
        </w:rPr>
        <w:tab/>
      </w:r>
      <w:r>
        <w:t>The automated attendant will then ask you for a four-digit security code (shown in the table above)</w:t>
      </w:r>
    </w:p>
    <w:p>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pPr>
        <w:spacing w:before="120"/>
      </w:pPr>
      <w:r>
        <w:t xml:space="preserve">If the meeting has the web conferencing feature enabled, to join the web conference, go to www.readytalk.com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pPr>
        <w:spacing w:before="120"/>
      </w:pPr>
      <w: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pPr>
        <w:spacing w:before="120"/>
        <w:jc w:val="center"/>
        <w:rPr>
          <w:bCs/>
        </w:rPr>
        <w:sectPr>
          <w:headerReference w:type="default" r:id="rId19"/>
          <w:headerReference w:type="first" r:id="rId20"/>
          <w:pgSz w:w="12240" w:h="15840" w:code="1"/>
          <w:pgMar w:top="720" w:right="1267" w:bottom="720" w:left="1166" w:header="720" w:footer="720" w:gutter="0"/>
          <w:cols w:space="720"/>
          <w:docGrid w:linePitch="272"/>
        </w:sectPr>
      </w:pPr>
    </w:p>
    <w:tbl>
      <w:tblPr>
        <w:tblW w:w="9900" w:type="dxa"/>
        <w:tblInd w:w="108" w:type="dxa"/>
        <w:tblLayout w:type="fixed"/>
        <w:tblLook w:val="01E0" w:firstRow="1" w:lastRow="1" w:firstColumn="1" w:lastColumn="1" w:noHBand="0" w:noVBand="0"/>
      </w:tblPr>
      <w:tblGrid>
        <w:gridCol w:w="900"/>
        <w:gridCol w:w="540"/>
        <w:gridCol w:w="630"/>
        <w:gridCol w:w="7830"/>
      </w:tblGrid>
      <w:tr>
        <w:trPr>
          <w:tblHeader/>
        </w:trPr>
        <w:tc>
          <w:tcPr>
            <w:tcW w:w="9900" w:type="dxa"/>
            <w:gridSpan w:val="4"/>
            <w:tcBorders>
              <w:bottom w:val="single" w:sz="4" w:space="0" w:color="auto"/>
            </w:tcBorders>
          </w:tcPr>
          <w:p>
            <w:pPr>
              <w:pStyle w:val="BodyText"/>
              <w:spacing w:before="120" w:after="40"/>
              <w:jc w:val="center"/>
              <w:rPr>
                <w:b/>
                <w:sz w:val="20"/>
              </w:rPr>
            </w:pPr>
            <w:r>
              <w:rPr>
                <w:sz w:val="20"/>
              </w:rPr>
              <w:lastRenderedPageBreak/>
              <w:br w:type="page"/>
            </w:r>
            <w:r>
              <w:rPr>
                <w:b/>
                <w:sz w:val="20"/>
              </w:rPr>
              <w:t xml:space="preserve">NAESB BOARD COMMITTEE ON GAS-ELECTRIC HARMONIZATION </w:t>
            </w:r>
          </w:p>
          <w:p>
            <w:pPr>
              <w:pStyle w:val="BodyText"/>
              <w:jc w:val="center"/>
              <w:rPr>
                <w:b/>
                <w:sz w:val="20"/>
              </w:rPr>
            </w:pPr>
            <w:r>
              <w:rPr>
                <w:b/>
                <w:bCs/>
                <w:sz w:val="20"/>
              </w:rPr>
              <w:t xml:space="preserve">Web Cast &amp; Conference Call </w:t>
            </w:r>
            <w:r>
              <w:rPr>
                <w:b/>
                <w:sz w:val="20"/>
              </w:rPr>
              <w:t>–</w:t>
            </w:r>
            <w:r>
              <w:rPr>
                <w:b/>
                <w:bCs/>
                <w:sz w:val="20"/>
              </w:rPr>
              <w:t xml:space="preserve"> Wednesday, February 15, 2012</w:t>
            </w:r>
            <w:r>
              <w:rPr>
                <w:b/>
                <w:sz w:val="20"/>
              </w:rPr>
              <w:t xml:space="preserve"> –  1:00 pm to 4:00 pm Central</w:t>
            </w:r>
          </w:p>
          <w:p>
            <w:pPr>
              <w:pStyle w:val="BodyText"/>
              <w:jc w:val="center"/>
            </w:pPr>
            <w:r>
              <w:rPr>
                <w:b/>
                <w:caps/>
                <w:sz w:val="20"/>
              </w:rPr>
              <w:t>DRAFT AGENDA</w:t>
            </w:r>
            <w:r>
              <w:rPr>
                <w:b/>
                <w:caps/>
              </w:rPr>
              <w:t xml:space="preserve"> </w:t>
            </w:r>
          </w:p>
        </w:tc>
      </w:tr>
      <w:tr>
        <w:trPr>
          <w:tblHeader/>
        </w:trPr>
        <w:tc>
          <w:tcPr>
            <w:tcW w:w="900" w:type="dxa"/>
            <w:tcBorders>
              <w:top w:val="single" w:sz="4" w:space="0" w:color="auto"/>
              <w:bottom w:val="single" w:sz="4" w:space="0" w:color="auto"/>
            </w:tcBorders>
          </w:tcPr>
          <w:p>
            <w:pPr>
              <w:autoSpaceDE w:val="0"/>
              <w:autoSpaceDN w:val="0"/>
              <w:adjustRightInd w:val="0"/>
              <w:spacing w:before="40" w:after="40"/>
            </w:pPr>
          </w:p>
        </w:tc>
        <w:tc>
          <w:tcPr>
            <w:tcW w:w="540" w:type="dxa"/>
            <w:tcBorders>
              <w:top w:val="single" w:sz="4" w:space="0" w:color="auto"/>
              <w:bottom w:val="single" w:sz="4" w:space="0" w:color="auto"/>
            </w:tcBorders>
          </w:tcPr>
          <w:p>
            <w:pPr>
              <w:autoSpaceDE w:val="0"/>
              <w:autoSpaceDN w:val="0"/>
              <w:adjustRightInd w:val="0"/>
              <w:spacing w:before="40" w:after="40"/>
            </w:pPr>
            <w:r>
              <w:t>#</w:t>
            </w:r>
          </w:p>
        </w:tc>
        <w:tc>
          <w:tcPr>
            <w:tcW w:w="8460" w:type="dxa"/>
            <w:gridSpan w:val="2"/>
            <w:tcBorders>
              <w:top w:val="single" w:sz="4" w:space="0" w:color="auto"/>
              <w:bottom w:val="single" w:sz="4" w:space="0" w:color="auto"/>
            </w:tcBorders>
          </w:tcPr>
          <w:p>
            <w:pPr>
              <w:autoSpaceDE w:val="0"/>
              <w:autoSpaceDN w:val="0"/>
              <w:adjustRightInd w:val="0"/>
              <w:spacing w:before="40" w:after="40"/>
            </w:pPr>
            <w:r>
              <w:t>Agenda Item</w:t>
            </w:r>
          </w:p>
        </w:tc>
      </w:tr>
      <w:tr>
        <w:tc>
          <w:tcPr>
            <w:tcW w:w="900" w:type="dxa"/>
          </w:tcPr>
          <w:p>
            <w:pPr>
              <w:autoSpaceDE w:val="0"/>
              <w:autoSpaceDN w:val="0"/>
              <w:adjustRightInd w:val="0"/>
              <w:spacing w:before="40" w:after="40"/>
            </w:pPr>
            <w:r>
              <w:t>1:00 P</w:t>
            </w:r>
          </w:p>
        </w:tc>
        <w:tc>
          <w:tcPr>
            <w:tcW w:w="540" w:type="dxa"/>
          </w:tcPr>
          <w:p>
            <w:pPr>
              <w:autoSpaceDE w:val="0"/>
              <w:autoSpaceDN w:val="0"/>
              <w:adjustRightInd w:val="0"/>
              <w:spacing w:before="40" w:after="40"/>
            </w:pPr>
            <w:r>
              <w:t>1.</w:t>
            </w:r>
          </w:p>
        </w:tc>
        <w:tc>
          <w:tcPr>
            <w:tcW w:w="8460" w:type="dxa"/>
            <w:gridSpan w:val="2"/>
          </w:tcPr>
          <w:p>
            <w:pPr>
              <w:autoSpaceDE w:val="0"/>
              <w:autoSpaceDN w:val="0"/>
              <w:adjustRightInd w:val="0"/>
              <w:spacing w:before="40" w:after="40"/>
            </w:pPr>
            <w:r>
              <w:t>Welcome</w:t>
            </w:r>
          </w:p>
        </w:tc>
      </w:tr>
      <w:tr>
        <w:tc>
          <w:tcPr>
            <w:tcW w:w="900"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630" w:type="dxa"/>
          </w:tcPr>
          <w:p>
            <w:pPr>
              <w:tabs>
                <w:tab w:val="left" w:pos="2520"/>
                <w:tab w:val="left" w:pos="2970"/>
                <w:tab w:val="num" w:pos="5040"/>
              </w:tabs>
              <w:autoSpaceDE w:val="0"/>
              <w:autoSpaceDN w:val="0"/>
              <w:adjustRightInd w:val="0"/>
              <w:spacing w:before="40" w:after="40"/>
            </w:pPr>
            <w:r>
              <w:t>a)</w:t>
            </w:r>
          </w:p>
        </w:tc>
        <w:tc>
          <w:tcPr>
            <w:tcW w:w="7830" w:type="dxa"/>
          </w:tcPr>
          <w:p>
            <w:pPr>
              <w:tabs>
                <w:tab w:val="left" w:pos="2520"/>
                <w:tab w:val="left" w:pos="2970"/>
                <w:tab w:val="num" w:pos="5040"/>
              </w:tabs>
              <w:autoSpaceDE w:val="0"/>
              <w:autoSpaceDN w:val="0"/>
              <w:adjustRightInd w:val="0"/>
              <w:spacing w:before="40" w:after="40"/>
            </w:pPr>
            <w:r>
              <w:t>Welcome members and attendees</w:t>
            </w:r>
          </w:p>
        </w:tc>
      </w:tr>
      <w:tr>
        <w:tc>
          <w:tcPr>
            <w:tcW w:w="900"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630" w:type="dxa"/>
          </w:tcPr>
          <w:p>
            <w:pPr>
              <w:tabs>
                <w:tab w:val="left" w:pos="2520"/>
                <w:tab w:val="left" w:pos="2970"/>
              </w:tabs>
              <w:autoSpaceDE w:val="0"/>
              <w:autoSpaceDN w:val="0"/>
              <w:adjustRightInd w:val="0"/>
              <w:spacing w:before="40" w:after="40"/>
            </w:pPr>
            <w:r>
              <w:t>b)</w:t>
            </w:r>
          </w:p>
        </w:tc>
        <w:tc>
          <w:tcPr>
            <w:tcW w:w="7830" w:type="dxa"/>
          </w:tcPr>
          <w:p>
            <w:pPr>
              <w:tabs>
                <w:tab w:val="left" w:pos="2520"/>
                <w:tab w:val="left" w:pos="2970"/>
              </w:tabs>
              <w:autoSpaceDE w:val="0"/>
              <w:autoSpaceDN w:val="0"/>
              <w:adjustRightInd w:val="0"/>
              <w:spacing w:before="40" w:after="40"/>
            </w:pPr>
            <w:r>
              <w:t xml:space="preserve">Provide Antitrust Guidelines </w:t>
            </w:r>
            <w:hyperlink r:id="rId21" w:history="1">
              <w:r>
                <w:rPr>
                  <w:rStyle w:val="Hyperlink"/>
                </w:rPr>
                <w:t>http://www.naesb.org/misc/antitrust_guidance.doc</w:t>
              </w:r>
            </w:hyperlink>
            <w:r>
              <w:t xml:space="preserve"> (Guidance)</w:t>
            </w:r>
          </w:p>
        </w:tc>
      </w:tr>
      <w:tr>
        <w:tc>
          <w:tcPr>
            <w:tcW w:w="900"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630" w:type="dxa"/>
          </w:tcPr>
          <w:p>
            <w:pPr>
              <w:tabs>
                <w:tab w:val="left" w:pos="2520"/>
                <w:tab w:val="left" w:pos="2970"/>
              </w:tabs>
              <w:autoSpaceDE w:val="0"/>
              <w:autoSpaceDN w:val="0"/>
              <w:adjustRightInd w:val="0"/>
              <w:spacing w:before="40" w:after="40"/>
            </w:pPr>
            <w:r>
              <w:t>c)</w:t>
            </w:r>
          </w:p>
        </w:tc>
        <w:tc>
          <w:tcPr>
            <w:tcW w:w="7830" w:type="dxa"/>
          </w:tcPr>
          <w:p>
            <w:pPr>
              <w:tabs>
                <w:tab w:val="left" w:pos="2520"/>
                <w:tab w:val="left" w:pos="2970"/>
              </w:tabs>
              <w:autoSpaceDE w:val="0"/>
              <w:autoSpaceDN w:val="0"/>
              <w:adjustRightInd w:val="0"/>
              <w:spacing w:before="40" w:after="40"/>
            </w:pPr>
            <w:r>
              <w:t>Identify Committee Members In Attendance</w:t>
            </w:r>
          </w:p>
        </w:tc>
      </w:tr>
      <w:tr>
        <w:tc>
          <w:tcPr>
            <w:tcW w:w="900"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630" w:type="dxa"/>
          </w:tcPr>
          <w:p>
            <w:pPr>
              <w:tabs>
                <w:tab w:val="left" w:pos="2520"/>
                <w:tab w:val="left" w:pos="2970"/>
                <w:tab w:val="num" w:pos="5040"/>
              </w:tabs>
              <w:autoSpaceDE w:val="0"/>
              <w:autoSpaceDN w:val="0"/>
              <w:adjustRightInd w:val="0"/>
              <w:spacing w:before="40" w:after="40"/>
            </w:pPr>
            <w:r>
              <w:t>d)</w:t>
            </w:r>
          </w:p>
        </w:tc>
        <w:tc>
          <w:tcPr>
            <w:tcW w:w="7830" w:type="dxa"/>
          </w:tcPr>
          <w:p>
            <w:pPr>
              <w:pStyle w:val="BodyText"/>
              <w:spacing w:before="40" w:after="40"/>
              <w:jc w:val="both"/>
              <w:rPr>
                <w:sz w:val="20"/>
              </w:rPr>
            </w:pPr>
            <w:r>
              <w:rPr>
                <w:sz w:val="20"/>
              </w:rPr>
              <w:t xml:space="preserve">Review, Makes Changes as Needed, and Adopt Agenda </w:t>
            </w:r>
          </w:p>
        </w:tc>
      </w:tr>
      <w:tr>
        <w:tc>
          <w:tcPr>
            <w:tcW w:w="900"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630" w:type="dxa"/>
          </w:tcPr>
          <w:p>
            <w:pPr>
              <w:tabs>
                <w:tab w:val="left" w:pos="2520"/>
                <w:tab w:val="left" w:pos="2970"/>
                <w:tab w:val="num" w:pos="5040"/>
              </w:tabs>
              <w:autoSpaceDE w:val="0"/>
              <w:autoSpaceDN w:val="0"/>
              <w:adjustRightInd w:val="0"/>
              <w:spacing w:before="40" w:after="40"/>
            </w:pPr>
            <w:r>
              <w:t>e)</w:t>
            </w:r>
          </w:p>
        </w:tc>
        <w:tc>
          <w:tcPr>
            <w:tcW w:w="7830" w:type="dxa"/>
          </w:tcPr>
          <w:p>
            <w:pPr>
              <w:pStyle w:val="BodyText"/>
              <w:spacing w:before="40" w:after="40"/>
              <w:jc w:val="both"/>
              <w:rPr>
                <w:sz w:val="20"/>
              </w:rPr>
            </w:pPr>
            <w:r>
              <w:rPr>
                <w:sz w:val="20"/>
              </w:rPr>
              <w:t>Review Notes for January 27, 2012 to determine if changes are needed</w:t>
            </w:r>
          </w:p>
        </w:tc>
      </w:tr>
      <w:tr>
        <w:trPr>
          <w:trHeight w:val="243"/>
        </w:trPr>
        <w:tc>
          <w:tcPr>
            <w:tcW w:w="900" w:type="dxa"/>
          </w:tcPr>
          <w:p>
            <w:pPr>
              <w:autoSpaceDE w:val="0"/>
              <w:autoSpaceDN w:val="0"/>
              <w:adjustRightInd w:val="0"/>
              <w:spacing w:before="240" w:after="40"/>
            </w:pPr>
          </w:p>
        </w:tc>
        <w:tc>
          <w:tcPr>
            <w:tcW w:w="540" w:type="dxa"/>
          </w:tcPr>
          <w:p>
            <w:pPr>
              <w:autoSpaceDE w:val="0"/>
              <w:autoSpaceDN w:val="0"/>
              <w:adjustRightInd w:val="0"/>
              <w:spacing w:before="240" w:after="40"/>
            </w:pPr>
            <w:r>
              <w:t>2.</w:t>
            </w:r>
          </w:p>
        </w:tc>
        <w:tc>
          <w:tcPr>
            <w:tcW w:w="8460" w:type="dxa"/>
            <w:gridSpan w:val="2"/>
          </w:tcPr>
          <w:p>
            <w:pPr>
              <w:autoSpaceDE w:val="0"/>
              <w:autoSpaceDN w:val="0"/>
              <w:adjustRightInd w:val="0"/>
              <w:spacing w:before="240" w:after="40"/>
            </w:pPr>
            <w:r>
              <w:t>Discussion of  Teams, Scope of Effort, Assigned Committee Members</w:t>
            </w:r>
          </w:p>
        </w:tc>
      </w:tr>
      <w:tr>
        <w:tc>
          <w:tcPr>
            <w:tcW w:w="900"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630" w:type="dxa"/>
          </w:tcPr>
          <w:p>
            <w:pPr>
              <w:tabs>
                <w:tab w:val="left" w:pos="2520"/>
                <w:tab w:val="left" w:pos="2970"/>
                <w:tab w:val="num" w:pos="5040"/>
              </w:tabs>
              <w:autoSpaceDE w:val="0"/>
              <w:autoSpaceDN w:val="0"/>
              <w:adjustRightInd w:val="0"/>
              <w:spacing w:before="40" w:after="40"/>
            </w:pPr>
            <w:r>
              <w:t>a)</w:t>
            </w:r>
          </w:p>
        </w:tc>
        <w:tc>
          <w:tcPr>
            <w:tcW w:w="7830" w:type="dxa"/>
          </w:tcPr>
          <w:p>
            <w:pPr>
              <w:spacing w:before="40" w:after="40"/>
            </w:pPr>
            <w:r>
              <w:t>Review Framework Document and Identify Changes</w:t>
            </w:r>
          </w:p>
        </w:tc>
      </w:tr>
      <w:tr>
        <w:tc>
          <w:tcPr>
            <w:tcW w:w="900"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630" w:type="dxa"/>
          </w:tcPr>
          <w:p>
            <w:pPr>
              <w:tabs>
                <w:tab w:val="left" w:pos="2520"/>
                <w:tab w:val="left" w:pos="2970"/>
              </w:tabs>
              <w:autoSpaceDE w:val="0"/>
              <w:autoSpaceDN w:val="0"/>
              <w:adjustRightInd w:val="0"/>
              <w:spacing w:before="40" w:after="40"/>
            </w:pPr>
            <w:r>
              <w:t>b)</w:t>
            </w:r>
          </w:p>
        </w:tc>
        <w:tc>
          <w:tcPr>
            <w:tcW w:w="7830" w:type="dxa"/>
          </w:tcPr>
          <w:p>
            <w:pPr>
              <w:spacing w:before="40" w:after="40"/>
            </w:pPr>
            <w:r>
              <w:t>Thoughts of the Team Leaders and  Committee Members</w:t>
            </w:r>
          </w:p>
        </w:tc>
      </w:tr>
      <w:tr>
        <w:tc>
          <w:tcPr>
            <w:tcW w:w="900"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630" w:type="dxa"/>
          </w:tcPr>
          <w:p>
            <w:pPr>
              <w:tabs>
                <w:tab w:val="left" w:pos="2520"/>
                <w:tab w:val="left" w:pos="2970"/>
              </w:tabs>
              <w:autoSpaceDE w:val="0"/>
              <w:autoSpaceDN w:val="0"/>
              <w:adjustRightInd w:val="0"/>
              <w:spacing w:before="40" w:after="40"/>
            </w:pPr>
            <w:r>
              <w:t>c)</w:t>
            </w:r>
          </w:p>
        </w:tc>
        <w:tc>
          <w:tcPr>
            <w:tcW w:w="7830" w:type="dxa"/>
          </w:tcPr>
          <w:p>
            <w:pPr>
              <w:spacing w:before="40" w:after="40"/>
            </w:pPr>
            <w:r>
              <w:t xml:space="preserve">Makes Changes as Needed </w:t>
            </w:r>
          </w:p>
        </w:tc>
      </w:tr>
      <w:tr>
        <w:tc>
          <w:tcPr>
            <w:tcW w:w="900" w:type="dxa"/>
          </w:tcPr>
          <w:p>
            <w:pPr>
              <w:autoSpaceDE w:val="0"/>
              <w:autoSpaceDN w:val="0"/>
              <w:adjustRightInd w:val="0"/>
              <w:spacing w:before="240" w:after="40"/>
            </w:pPr>
          </w:p>
        </w:tc>
        <w:tc>
          <w:tcPr>
            <w:tcW w:w="540" w:type="dxa"/>
          </w:tcPr>
          <w:p>
            <w:pPr>
              <w:autoSpaceDE w:val="0"/>
              <w:autoSpaceDN w:val="0"/>
              <w:adjustRightInd w:val="0"/>
              <w:spacing w:before="240" w:after="40"/>
            </w:pPr>
            <w:r>
              <w:t>3.</w:t>
            </w:r>
          </w:p>
        </w:tc>
        <w:tc>
          <w:tcPr>
            <w:tcW w:w="8460" w:type="dxa"/>
            <w:gridSpan w:val="2"/>
          </w:tcPr>
          <w:p>
            <w:pPr>
              <w:tabs>
                <w:tab w:val="left" w:pos="2520"/>
                <w:tab w:val="left" w:pos="2970"/>
              </w:tabs>
              <w:autoSpaceDE w:val="0"/>
              <w:autoSpaceDN w:val="0"/>
              <w:adjustRightInd w:val="0"/>
              <w:spacing w:before="240" w:after="40"/>
            </w:pPr>
            <w:r>
              <w:t>Review Commissioner Moeller Letter as it may impact NAESB effort</w:t>
            </w:r>
          </w:p>
        </w:tc>
      </w:tr>
      <w:tr>
        <w:tc>
          <w:tcPr>
            <w:tcW w:w="900" w:type="dxa"/>
          </w:tcPr>
          <w:p>
            <w:pPr>
              <w:autoSpaceDE w:val="0"/>
              <w:autoSpaceDN w:val="0"/>
              <w:adjustRightInd w:val="0"/>
              <w:spacing w:before="240" w:after="40"/>
            </w:pPr>
          </w:p>
        </w:tc>
        <w:tc>
          <w:tcPr>
            <w:tcW w:w="540" w:type="dxa"/>
          </w:tcPr>
          <w:p>
            <w:pPr>
              <w:autoSpaceDE w:val="0"/>
              <w:autoSpaceDN w:val="0"/>
              <w:adjustRightInd w:val="0"/>
              <w:spacing w:before="240" w:after="40"/>
            </w:pPr>
            <w:r>
              <w:t>4.</w:t>
            </w:r>
          </w:p>
        </w:tc>
        <w:tc>
          <w:tcPr>
            <w:tcW w:w="8460" w:type="dxa"/>
            <w:gridSpan w:val="2"/>
          </w:tcPr>
          <w:p>
            <w:pPr>
              <w:tabs>
                <w:tab w:val="left" w:pos="2520"/>
                <w:tab w:val="left" w:pos="2970"/>
              </w:tabs>
              <w:autoSpaceDE w:val="0"/>
              <w:autoSpaceDN w:val="0"/>
              <w:adjustRightInd w:val="0"/>
              <w:spacing w:before="240" w:after="40"/>
            </w:pPr>
            <w:r>
              <w:t>Plan for the upcoming meetings</w:t>
            </w:r>
          </w:p>
        </w:tc>
      </w:tr>
      <w:tr>
        <w:tc>
          <w:tcPr>
            <w:tcW w:w="900" w:type="dxa"/>
          </w:tcPr>
          <w:p>
            <w:pPr>
              <w:autoSpaceDE w:val="0"/>
              <w:autoSpaceDN w:val="0"/>
              <w:adjustRightInd w:val="0"/>
              <w:spacing w:before="240" w:after="40"/>
              <w:rPr>
                <w:b/>
              </w:rPr>
            </w:pPr>
          </w:p>
        </w:tc>
        <w:tc>
          <w:tcPr>
            <w:tcW w:w="540" w:type="dxa"/>
          </w:tcPr>
          <w:p>
            <w:pPr>
              <w:autoSpaceDE w:val="0"/>
              <w:autoSpaceDN w:val="0"/>
              <w:adjustRightInd w:val="0"/>
              <w:spacing w:before="240" w:after="40"/>
            </w:pPr>
            <w:r>
              <w:t>5.</w:t>
            </w:r>
            <w:bookmarkStart w:id="6" w:name="_GoBack"/>
            <w:bookmarkEnd w:id="6"/>
          </w:p>
        </w:tc>
        <w:tc>
          <w:tcPr>
            <w:tcW w:w="8460" w:type="dxa"/>
            <w:gridSpan w:val="2"/>
          </w:tcPr>
          <w:p>
            <w:pPr>
              <w:tabs>
                <w:tab w:val="left" w:pos="2520"/>
                <w:tab w:val="left" w:pos="2970"/>
              </w:tabs>
              <w:autoSpaceDE w:val="0"/>
              <w:autoSpaceDN w:val="0"/>
              <w:adjustRightInd w:val="0"/>
              <w:spacing w:before="240" w:after="40"/>
            </w:pPr>
            <w:r>
              <w:t>Other Business</w:t>
            </w:r>
          </w:p>
        </w:tc>
      </w:tr>
      <w:tr>
        <w:tc>
          <w:tcPr>
            <w:tcW w:w="900" w:type="dxa"/>
            <w:tcBorders>
              <w:bottom w:val="single" w:sz="4" w:space="0" w:color="auto"/>
            </w:tcBorders>
          </w:tcPr>
          <w:p>
            <w:pPr>
              <w:autoSpaceDE w:val="0"/>
              <w:autoSpaceDN w:val="0"/>
              <w:adjustRightInd w:val="0"/>
              <w:spacing w:before="240" w:after="40"/>
            </w:pPr>
          </w:p>
        </w:tc>
        <w:tc>
          <w:tcPr>
            <w:tcW w:w="540" w:type="dxa"/>
            <w:tcBorders>
              <w:bottom w:val="single" w:sz="4" w:space="0" w:color="auto"/>
            </w:tcBorders>
          </w:tcPr>
          <w:p>
            <w:pPr>
              <w:autoSpaceDE w:val="0"/>
              <w:autoSpaceDN w:val="0"/>
              <w:adjustRightInd w:val="0"/>
              <w:spacing w:before="240" w:after="40"/>
            </w:pPr>
            <w:r>
              <w:t>6.</w:t>
            </w:r>
          </w:p>
        </w:tc>
        <w:tc>
          <w:tcPr>
            <w:tcW w:w="8460" w:type="dxa"/>
            <w:gridSpan w:val="2"/>
            <w:tcBorders>
              <w:bottom w:val="single" w:sz="4" w:space="0" w:color="auto"/>
            </w:tcBorders>
          </w:tcPr>
          <w:p>
            <w:pPr>
              <w:pStyle w:val="BodyText"/>
              <w:spacing w:before="240" w:after="40"/>
              <w:rPr>
                <w:sz w:val="20"/>
              </w:rPr>
            </w:pPr>
            <w:r>
              <w:rPr>
                <w:sz w:val="20"/>
              </w:rPr>
              <w:t>Adjourn</w:t>
            </w:r>
          </w:p>
        </w:tc>
      </w:tr>
    </w:tbl>
    <w:p>
      <w:pPr>
        <w:spacing w:before="120"/>
        <w:ind w:left="2160"/>
        <w:rPr>
          <w:bCs/>
        </w:rPr>
      </w:pPr>
    </w:p>
    <w:p>
      <w:pPr>
        <w:spacing w:before="120"/>
        <w:jc w:val="both"/>
        <w:rPr>
          <w:bCs/>
        </w:rPr>
      </w:pPr>
      <w:r>
        <w:rPr>
          <w:bCs/>
        </w:rPr>
        <w:t>Documents:</w:t>
      </w:r>
    </w:p>
    <w:p>
      <w:pPr>
        <w:pStyle w:val="ListParagraph"/>
        <w:numPr>
          <w:ilvl w:val="0"/>
          <w:numId w:val="31"/>
        </w:numPr>
        <w:spacing w:before="120"/>
        <w:rPr>
          <w:rFonts w:ascii="Times New Roman" w:hAnsi="Times New Roman" w:cs="Times New Roman"/>
          <w:sz w:val="20"/>
          <w:szCs w:val="20"/>
        </w:rPr>
      </w:pPr>
      <w:r>
        <w:rPr>
          <w:rFonts w:ascii="Times New Roman" w:hAnsi="Times New Roman" w:cs="Times New Roman"/>
          <w:sz w:val="20"/>
          <w:szCs w:val="20"/>
        </w:rPr>
        <w:t xml:space="preserve">January 27, 2012 GEH notes - </w:t>
      </w:r>
      <w:hyperlink r:id="rId22" w:history="1">
        <w:r>
          <w:rPr>
            <w:rStyle w:val="Hyperlink"/>
            <w:rFonts w:ascii="Times New Roman" w:hAnsi="Times New Roman"/>
            <w:sz w:val="20"/>
            <w:szCs w:val="20"/>
          </w:rPr>
          <w:t>http://www.naesb.org/pdf4/geh012712notes.doc</w:t>
        </w:r>
      </w:hyperlink>
    </w:p>
    <w:p>
      <w:pPr>
        <w:pStyle w:val="ListParagraph"/>
        <w:numPr>
          <w:ilvl w:val="0"/>
          <w:numId w:val="31"/>
        </w:numPr>
        <w:spacing w:before="120"/>
        <w:rPr>
          <w:rFonts w:ascii="Times New Roman" w:hAnsi="Times New Roman" w:cs="Times New Roman"/>
          <w:sz w:val="20"/>
          <w:szCs w:val="20"/>
        </w:rPr>
      </w:pPr>
      <w:r>
        <w:rPr>
          <w:rFonts w:ascii="Times New Roman" w:hAnsi="Times New Roman" w:cs="Times New Roman"/>
          <w:sz w:val="20"/>
          <w:szCs w:val="20"/>
        </w:rPr>
        <w:t xml:space="preserve">GEH Draft Framework Document: Work Plan and Issues 2/8/12 - </w:t>
      </w:r>
      <w:hyperlink r:id="rId23" w:history="1">
        <w:r>
          <w:rPr>
            <w:rStyle w:val="Hyperlink"/>
            <w:rFonts w:ascii="Times New Roman" w:hAnsi="Times New Roman"/>
            <w:sz w:val="20"/>
            <w:szCs w:val="20"/>
          </w:rPr>
          <w:t>http://www.naesb.org/pdf4/geh021512w1.docx</w:t>
        </w:r>
      </w:hyperlink>
    </w:p>
    <w:p>
      <w:pPr>
        <w:pStyle w:val="ListParagraph"/>
        <w:numPr>
          <w:ilvl w:val="0"/>
          <w:numId w:val="31"/>
        </w:numPr>
        <w:spacing w:before="120"/>
        <w:rPr>
          <w:rFonts w:ascii="Times New Roman" w:hAnsi="Times New Roman" w:cs="Times New Roman"/>
          <w:sz w:val="20"/>
          <w:szCs w:val="20"/>
        </w:rPr>
      </w:pPr>
      <w:r>
        <w:rPr>
          <w:rFonts w:ascii="Times New Roman" w:hAnsi="Times New Roman" w:cs="Times New Roman"/>
          <w:sz w:val="20"/>
          <w:szCs w:val="20"/>
        </w:rPr>
        <w:t xml:space="preserve">FERC Request for Comments of Commissioner Moeller on Coordination between the Natural Gas and Electricity Markets - </w:t>
      </w:r>
      <w:hyperlink r:id="rId24" w:history="1">
        <w:r>
          <w:rPr>
            <w:rStyle w:val="Hyperlink"/>
            <w:rFonts w:ascii="Times New Roman" w:hAnsi="Times New Roman"/>
            <w:sz w:val="20"/>
            <w:szCs w:val="20"/>
          </w:rPr>
          <w:t>http://www.naesb.org/pdf4/geh021512w2.pdf</w:t>
        </w:r>
      </w:hyperlink>
    </w:p>
    <w:p/>
    <w:sectPr>
      <w:headerReference w:type="default" r:id="rId25"/>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pPr>
    <w:r>
      <w:t>Gas-Electric Harmonization Committee Conference Call/Web Cast – February 15, 2012</w:t>
    </w:r>
  </w:p>
  <w:p>
    <w:pPr>
      <w:pStyle w:val="Footer"/>
      <w:pBdr>
        <w:top w:val="single" w:sz="4" w:space="1" w:color="auto"/>
      </w:pBdr>
      <w:jc w:val="right"/>
    </w:pPr>
    <w:r>
      <w:t xml:space="preserve">Page </w:t>
    </w:r>
    <w:r>
      <w:fldChar w:fldCharType="begin"/>
    </w:r>
    <w:r>
      <w:instrText xml:space="preserve"> PAGE </w:instrText>
    </w:r>
    <w:r>
      <w:fldChar w:fldCharType="separate"/>
    </w:r>
    <w:r>
      <w:rPr>
        <w:noProof/>
      </w:rPr>
      <w:t>3</w:t>
    </w:r>
    <w:r>
      <w:rPr>
        <w:noProof/>
      </w:rPr>
      <w:fldChar w:fldCharType="end"/>
    </w:r>
    <w:r>
      <w:t xml:space="preserve"> of </w:t>
    </w:r>
    <w:fldSimple w:instr=" NUMPAGES ">
      <w:r>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353032" w:rsidRDefault="0035303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353032" w:rsidRDefault="0035303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p>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6c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w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Y4m+nKwCAACmBQAADgAAAAAAAAAA&#10;AAAAAAAuAgAAZHJzL2Uyb0RvYy54bWxQSwECLQAUAAYACAAAACEAieVxSdwAAAAFAQAADwAAAAAA&#10;AAAAAAAAAAAGBQAAZHJzL2Rvd25yZXYueG1sUEsFBgAAAAAEAAQA8wAAAA8GAAAAAA==&#10;" filled="f" stroked="f">
              <v:textbox inset="0,0,0,0">
                <w:txbxContent>
                  <w:p w:rsidR="00353032" w:rsidRDefault="0035303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p>
    <w:pPr>
      <w:spacing w:before="240"/>
      <w:jc w:val="center"/>
      <w:rPr>
        <w:b/>
        <w:smallCaps/>
      </w:rPr>
    </w:pPr>
    <w:r>
      <w:rPr>
        <w:b/>
        <w:smallCaps/>
      </w:rPr>
      <w:t>Conference Calling and Web Conferencing Details</w:t>
    </w:r>
  </w:p>
  <w:p>
    <w:pPr>
      <w:spacing w:before="120" w:after="480"/>
      <w:jc w:val="center"/>
      <w:rPr>
        <w:b/>
        <w:smallCaps/>
      </w:rPr>
    </w:pPr>
    <w:r>
      <w:rPr>
        <w:b/>
        <w:smallCaps/>
      </w:rPr>
      <w:t>for the February 15 Committee Conference Call/Web Cast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58240"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1.85pt;margin-top:.95pt;width:3.5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HJ7Q0eqAgAApQUAAA4AAAAAAAAAAAAA&#10;AAAALgIAAGRycy9lMm9Eb2MueG1sUEsBAi0AFAAGAAgAAAAhAInlcUncAAAABQEAAA8AAAAAAAAA&#10;AAAAAAAABAUAAGRycy9kb3ducmV2LnhtbFBLBQYAAAAABAAEAPMAAAANBgAAAAA=&#10;" filled="f" stroked="f">
              <v:textbox inset="0,0,0,0">
                <w:txbxContent>
                  <w:p w:rsidR="00353032" w:rsidRDefault="0035303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p>
    <w:pPr>
      <w:spacing w:before="240"/>
      <w:jc w:val="center"/>
      <w:rPr>
        <w:b/>
        <w:smallCaps/>
      </w:rPr>
    </w:pPr>
    <w:r>
      <w:rPr>
        <w:b/>
        <w:smallCaps/>
      </w:rPr>
      <w:t>Conference Calling and Web Conferencing Details</w:t>
    </w:r>
  </w:p>
  <w:p>
    <w:pPr>
      <w:spacing w:before="120"/>
      <w:jc w:val="center"/>
      <w:rPr>
        <w:b/>
        <w:smallCaps/>
      </w:rPr>
    </w:pPr>
    <w:r>
      <w:rPr>
        <w:b/>
        <w:smallCaps/>
      </w:rPr>
      <w:t>for the September 21-22, 2011 Set of Board and Related Meetings:</w:t>
    </w:r>
  </w:p>
  <w:p>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Ry+m+qwIAAKYFAAAOAAAAAAAAAAAA&#10;AAAAAC4CAABkcnMvZTJvRG9jLnhtbFBLAQItABQABgAIAAAAIQCJ5XFJ3AAAAAUBAAAPAAAAAAAA&#10;AAAAAAAAAAUFAABkcnMvZG93bnJldi54bWxQSwUGAAAAAAQABADzAAAADgYAAAAA&#10;" filled="f" stroked="f">
              <v:textbox inset="0,0,0,0">
                <w:txbxContent>
                  <w:p w:rsidR="00353032" w:rsidRDefault="0035303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AE3CD7"/>
    <w:multiLevelType w:val="hybridMultilevel"/>
    <w:tmpl w:val="888E4AF4"/>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3"/>
  </w:num>
  <w:num w:numId="2">
    <w:abstractNumId w:val="14"/>
  </w:num>
  <w:num w:numId="3">
    <w:abstractNumId w:val="1"/>
  </w:num>
  <w:num w:numId="4">
    <w:abstractNumId w:val="26"/>
  </w:num>
  <w:num w:numId="5">
    <w:abstractNumId w:val="2"/>
  </w:num>
  <w:num w:numId="6">
    <w:abstractNumId w:val="10"/>
  </w:num>
  <w:num w:numId="7">
    <w:abstractNumId w:val="4"/>
  </w:num>
  <w:num w:numId="8">
    <w:abstractNumId w:val="19"/>
  </w:num>
  <w:num w:numId="9">
    <w:abstractNumId w:val="23"/>
  </w:num>
  <w:num w:numId="10">
    <w:abstractNumId w:val="30"/>
  </w:num>
  <w:num w:numId="11">
    <w:abstractNumId w:val="3"/>
  </w:num>
  <w:num w:numId="12">
    <w:abstractNumId w:val="9"/>
  </w:num>
  <w:num w:numId="13">
    <w:abstractNumId w:val="29"/>
  </w:num>
  <w:num w:numId="14">
    <w:abstractNumId w:val="7"/>
  </w:num>
  <w:num w:numId="15">
    <w:abstractNumId w:val="5"/>
  </w:num>
  <w:num w:numId="16">
    <w:abstractNumId w:val="18"/>
  </w:num>
  <w:num w:numId="17">
    <w:abstractNumId w:val="12"/>
  </w:num>
  <w:num w:numId="18">
    <w:abstractNumId w:val="0"/>
  </w:num>
  <w:num w:numId="19">
    <w:abstractNumId w:val="24"/>
  </w:num>
  <w:num w:numId="20">
    <w:abstractNumId w:val="16"/>
  </w:num>
  <w:num w:numId="21">
    <w:abstractNumId w:val="21"/>
  </w:num>
  <w:num w:numId="22">
    <w:abstractNumId w:val="17"/>
  </w:num>
  <w:num w:numId="23">
    <w:abstractNumId w:val="27"/>
  </w:num>
  <w:num w:numId="24">
    <w:abstractNumId w:val="8"/>
  </w:num>
  <w:num w:numId="25">
    <w:abstractNumId w:val="22"/>
  </w:num>
  <w:num w:numId="26">
    <w:abstractNumId w:val="6"/>
  </w:num>
  <w:num w:numId="27">
    <w:abstractNumId w:val="11"/>
  </w:num>
  <w:num w:numId="28">
    <w:abstractNumId w:val="25"/>
  </w:num>
  <w:num w:numId="29">
    <w:abstractNumId w:val="20"/>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1071660731">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desselle@spp.org" TargetMode="External"/><Relationship Id="rId18" Type="http://schemas.openxmlformats.org/officeDocument/2006/relationships/hyperlink" Target="http://www.naesb.org/board_gas_electric_harmonization.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aesb.org/misc/antitrust_guidance.doc" TargetMode="External"/><Relationship Id="rId7" Type="http://schemas.openxmlformats.org/officeDocument/2006/relationships/footnotes" Target="footnotes.xml"/><Relationship Id="rId12" Type="http://schemas.openxmlformats.org/officeDocument/2006/relationships/hyperlink" Target="mailto:rmcquade@naesb.org"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board_gas_electric_harmonization.asp" TargetMode="External"/><Relationship Id="rId24" Type="http://schemas.openxmlformats.org/officeDocument/2006/relationships/hyperlink" Target="http://www.naesb.org/pdf4/geh021512w2.pdf"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naesb.org/pdf4/geh021512w1.docx" TargetMode="External"/><Relationship Id="rId10" Type="http://schemas.openxmlformats.org/officeDocument/2006/relationships/hyperlink" Target="http://www.naesb.org/pdf4/board_gas_electric_harmonization_members.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file:///C:\NAESB%20Files\Board%20of%20Directors\Meetings\12-8-11%20Houston\Agendas%20and%20announcements\brd_geharm@naesblist.org" TargetMode="External"/><Relationship Id="rId14" Type="http://schemas.openxmlformats.org/officeDocument/2006/relationships/hyperlink" Target="mailto:vjcrockett@tva.gov" TargetMode="External"/><Relationship Id="rId22" Type="http://schemas.openxmlformats.org/officeDocument/2006/relationships/hyperlink" Target="http://www.naesb.org/pdf4/geh012712notes.doc"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0222-B56A-4F73-81E3-05AB1C01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2008-08-04T20:19:00Z</cp:lastPrinted>
  <dcterms:created xsi:type="dcterms:W3CDTF">2012-02-10T22:02:00Z</dcterms:created>
  <dcterms:modified xsi:type="dcterms:W3CDTF">2012-02-10T22:37:00Z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