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285" w:rsidRDefault="00922285" w:rsidP="00922285">
      <w:pPr>
        <w:spacing w:line="240" w:lineRule="auto"/>
        <w:ind w:right="90"/>
        <w:jc w:val="right"/>
      </w:pPr>
      <w:r>
        <w:t>July 28, 2011</w:t>
      </w:r>
    </w:p>
    <w:p w:rsidR="00922285" w:rsidRDefault="00922285" w:rsidP="00922285">
      <w:pPr>
        <w:spacing w:after="0" w:line="240" w:lineRule="auto"/>
      </w:pPr>
    </w:p>
    <w:p w:rsidR="00922285" w:rsidRDefault="00922285" w:rsidP="00922285">
      <w:pPr>
        <w:spacing w:after="0" w:line="240" w:lineRule="auto"/>
      </w:pPr>
      <w:r>
        <w:t xml:space="preserve">Ms. </w:t>
      </w:r>
      <w:r>
        <w:t>Cory Galik Cummings</w:t>
      </w:r>
    </w:p>
    <w:p w:rsidR="00922285" w:rsidRDefault="00922285" w:rsidP="00922285">
      <w:pPr>
        <w:spacing w:after="0" w:line="240" w:lineRule="auto"/>
      </w:pPr>
      <w:r>
        <w:t>Staff Attorney</w:t>
      </w:r>
    </w:p>
    <w:p w:rsidR="00922285" w:rsidRDefault="00922285" w:rsidP="00922285">
      <w:pPr>
        <w:spacing w:after="0" w:line="240" w:lineRule="auto"/>
      </w:pPr>
      <w:r>
        <w:t>North American Energy Standards Board</w:t>
      </w:r>
    </w:p>
    <w:p w:rsidR="00922285" w:rsidRDefault="00922285" w:rsidP="00922285">
      <w:pPr>
        <w:spacing w:after="0" w:line="240" w:lineRule="auto"/>
      </w:pPr>
      <w:r>
        <w:t>801 Travis, Suite 1675</w:t>
      </w:r>
    </w:p>
    <w:p w:rsidR="00922285" w:rsidRDefault="00922285" w:rsidP="00922285">
      <w:pPr>
        <w:spacing w:after="0" w:line="240" w:lineRule="auto"/>
      </w:pPr>
      <w:r>
        <w:t>Houston, TX 77002</w:t>
      </w:r>
    </w:p>
    <w:p w:rsidR="00922285" w:rsidRDefault="00922285" w:rsidP="00922285">
      <w:pPr>
        <w:spacing w:after="0" w:line="240" w:lineRule="auto"/>
      </w:pPr>
    </w:p>
    <w:p w:rsidR="00922285" w:rsidRDefault="00922285" w:rsidP="00922285">
      <w:pPr>
        <w:spacing w:after="0" w:line="240" w:lineRule="auto"/>
      </w:pPr>
      <w:r>
        <w:t>Dear Cory:</w:t>
      </w:r>
    </w:p>
    <w:p w:rsidR="00922285" w:rsidRDefault="00922285" w:rsidP="00922285">
      <w:pPr>
        <w:spacing w:after="0" w:line="240" w:lineRule="auto"/>
      </w:pPr>
    </w:p>
    <w:p w:rsidR="00612044" w:rsidRDefault="006870C7" w:rsidP="00792DAC">
      <w:pPr>
        <w:spacing w:after="0" w:line="240" w:lineRule="auto"/>
      </w:pPr>
      <w:r>
        <w:t xml:space="preserve">Ryn Hamilton Consulting, on behalf of </w:t>
      </w:r>
      <w:r w:rsidR="00D372D9">
        <w:t>Southern California Edison</w:t>
      </w:r>
      <w:r>
        <w:t xml:space="preserve">, offers the following comments to </w:t>
      </w:r>
      <w:r w:rsidR="00D372D9">
        <w:t>the draft model business practice standards prepared by the NAESB Retail Energy Efficiency Working Group</w:t>
      </w:r>
      <w:r w:rsidR="00922285">
        <w:rPr>
          <w:rStyle w:val="FootnoteReference"/>
        </w:rPr>
        <w:footnoteReference w:id="1"/>
      </w:r>
      <w:r w:rsidR="00D372D9">
        <w:t xml:space="preserve">.  </w:t>
      </w:r>
      <w:r>
        <w:t xml:space="preserve"> </w:t>
      </w:r>
      <w:r w:rsidR="00157B0E">
        <w:t>While t</w:t>
      </w:r>
      <w:r w:rsidR="00D372D9">
        <w:t>hese draft standards represent the collective thought of several member</w:t>
      </w:r>
      <w:r w:rsidR="00612044" w:rsidRPr="00612044">
        <w:t xml:space="preserve"> </w:t>
      </w:r>
      <w:r w:rsidR="00612044">
        <w:t xml:space="preserve">s of the NAESB working group, these comments are intended to broaden the appeal and applicability of this guidance for the intended audience in the private and public sectors.   SCE is confident that what emerges from this stakeholder process will be a valuable contribution to the practice of evaluation of energy efficiency and an important resource for states, utilities and evaluators. </w:t>
      </w:r>
    </w:p>
    <w:p w:rsidR="00792DAC" w:rsidRDefault="00792DAC" w:rsidP="00792DAC">
      <w:pPr>
        <w:spacing w:after="0" w:line="240" w:lineRule="auto"/>
      </w:pPr>
    </w:p>
    <w:p w:rsidR="00612044" w:rsidRDefault="00612044" w:rsidP="00792DAC">
      <w:pPr>
        <w:spacing w:line="240" w:lineRule="auto"/>
      </w:pPr>
      <w:r>
        <w:t>In this spirit, SCE offers the following comments and recommendations:</w:t>
      </w:r>
    </w:p>
    <w:p w:rsidR="00612044" w:rsidRDefault="00612044" w:rsidP="00792DAC">
      <w:pPr>
        <w:pStyle w:val="ListParagraph"/>
        <w:numPr>
          <w:ilvl w:val="0"/>
          <w:numId w:val="1"/>
        </w:numPr>
        <w:spacing w:line="240" w:lineRule="auto"/>
        <w:contextualSpacing w:val="0"/>
      </w:pPr>
      <w:r w:rsidRPr="006253F8">
        <w:rPr>
          <w:i/>
        </w:rPr>
        <w:t>REQ.019.3.3.6  Reporting Energy Efficiency Savings Impacts</w:t>
      </w:r>
      <w:r w:rsidRPr="00D372D9">
        <w:rPr>
          <w:b/>
        </w:rPr>
        <w:t>.</w:t>
      </w:r>
      <w:r>
        <w:t xml:space="preserve">  It is SCE’s view that any reference documents, standards and protocols mentioned in the standards should have a national scope and regional guidelines should be avoided. For this guidance to gain broad national support, NAESB should refrain from referencing regional citations in the specific language of the business practices.  This is no negative reflection on the laudable work of the NEEP Regional EM&amp;V Forum or other existing standards that have been produced for specific regional application.  Our concern rests solely on the fact that other jurisdictions have not been participants in the regional process to develop these standards and this approach would severely limit future applicability. The NAPEE Guide, by contrast, has been vetted by a broad constituency and is considered a national resource. NAESB should include regional guidelines only by reference, not directly in the language of the business practices.</w:t>
      </w:r>
    </w:p>
    <w:p w:rsidR="00612044" w:rsidRDefault="00612044" w:rsidP="00792DAC">
      <w:pPr>
        <w:pStyle w:val="ListParagraph"/>
        <w:numPr>
          <w:ilvl w:val="0"/>
          <w:numId w:val="1"/>
        </w:numPr>
        <w:spacing w:line="240" w:lineRule="auto"/>
        <w:contextualSpacing w:val="0"/>
      </w:pPr>
      <w:r w:rsidRPr="006253F8">
        <w:rPr>
          <w:i/>
        </w:rPr>
        <w:t>REQ.019.3.4  Portfolio EM&amp;V Plan</w:t>
      </w:r>
      <w:r>
        <w:t xml:space="preserve">.  SCE feels strongly that the industry today needs evaluation guidance with broad appeal to encourage accuracy and innovation, not prescriptive standards that limit both.  We are concerned that the tone of this section is tilted toward rules rather than guidance.  While SCE has no objection to the particular theme of this section, it should be reworded </w:t>
      </w:r>
      <w:r w:rsidR="00792DAC">
        <w:t>in</w:t>
      </w:r>
      <w:r>
        <w:t xml:space="preserve"> the tone </w:t>
      </w:r>
      <w:r w:rsidR="00792DAC">
        <w:t>of</w:t>
      </w:r>
      <w:r>
        <w:t xml:space="preserve"> guidance</w:t>
      </w:r>
      <w:r w:rsidR="00792DAC">
        <w:t>,</w:t>
      </w:r>
      <w:r>
        <w:t xml:space="preserve"> with the implicit understanding that other approaches may also be legitimate. SCE will assist the Working Group to achieve this improvement.</w:t>
      </w:r>
    </w:p>
    <w:p w:rsidR="00612044" w:rsidRDefault="00612044" w:rsidP="00D372D9">
      <w:pPr>
        <w:sectPr w:rsidR="00612044" w:rsidSect="00A62044">
          <w:headerReference w:type="default" r:id="rId8"/>
          <w:pgSz w:w="12240" w:h="15840"/>
          <w:pgMar w:top="1440" w:right="1440" w:bottom="1440" w:left="1440" w:header="720" w:footer="720" w:gutter="0"/>
          <w:cols w:space="720"/>
          <w:docGrid w:linePitch="360"/>
        </w:sectPr>
      </w:pPr>
    </w:p>
    <w:p w:rsidR="00922285" w:rsidRDefault="006253F8" w:rsidP="00792DAC">
      <w:pPr>
        <w:pStyle w:val="ListParagraph"/>
        <w:numPr>
          <w:ilvl w:val="0"/>
          <w:numId w:val="1"/>
        </w:numPr>
        <w:spacing w:line="240" w:lineRule="auto"/>
        <w:contextualSpacing w:val="0"/>
      </w:pPr>
      <w:r w:rsidRPr="006866CB">
        <w:rPr>
          <w:i/>
        </w:rPr>
        <w:lastRenderedPageBreak/>
        <w:t>REQ.019.3.5  Impact Evaluation Plans</w:t>
      </w:r>
      <w:r>
        <w:t xml:space="preserve">.  While impact evaluation planning is an important activity, SCE </w:t>
      </w:r>
      <w:r w:rsidR="00BB124F">
        <w:t xml:space="preserve">questions </w:t>
      </w:r>
      <w:r w:rsidR="005740A9">
        <w:t xml:space="preserve">whether NAESB guidance should delve into </w:t>
      </w:r>
      <w:r w:rsidR="00BB124F">
        <w:t xml:space="preserve">the specifics of </w:t>
      </w:r>
      <w:r w:rsidR="005740A9">
        <w:t>evaluation planning as it has in this section. In our judgment the material is mainly descriptive and could safely be omitted</w:t>
      </w:r>
      <w:r w:rsidR="001939FE">
        <w:t xml:space="preserve"> unless it is a mandatory component of the business practice template</w:t>
      </w:r>
      <w:r w:rsidR="005740A9">
        <w:t>.</w:t>
      </w:r>
      <w:r w:rsidR="001939FE">
        <w:t xml:space="preserve"> </w:t>
      </w:r>
    </w:p>
    <w:p w:rsidR="00CB0AEF" w:rsidRPr="00CB0AEF" w:rsidRDefault="006866CB" w:rsidP="00792DAC">
      <w:pPr>
        <w:pStyle w:val="ListParagraph"/>
        <w:numPr>
          <w:ilvl w:val="0"/>
          <w:numId w:val="1"/>
        </w:numPr>
        <w:spacing w:line="240" w:lineRule="auto"/>
        <w:contextualSpacing w:val="0"/>
      </w:pPr>
      <w:r w:rsidRPr="00922285">
        <w:rPr>
          <w:i/>
        </w:rPr>
        <w:t>REQ.019.3.5.9  M&amp;V Approach</w:t>
      </w:r>
      <w:r>
        <w:t>.  SCE finds this section, extracted from the NAPEE Guide</w:t>
      </w:r>
      <w:r w:rsidR="00BB124F">
        <w:t xml:space="preserve"> for convenience</w:t>
      </w:r>
      <w:r>
        <w:t xml:space="preserve">, </w:t>
      </w:r>
      <w:r w:rsidR="00BB124F">
        <w:t>may</w:t>
      </w:r>
      <w:r>
        <w:t xml:space="preserve"> be too prescriptive </w:t>
      </w:r>
      <w:r w:rsidR="00BB124F">
        <w:t xml:space="preserve">and </w:t>
      </w:r>
      <w:r w:rsidR="005740A9">
        <w:t>contain too much detail</w:t>
      </w:r>
      <w:r w:rsidR="00BB124F">
        <w:t xml:space="preserve"> for the intent of this document</w:t>
      </w:r>
      <w:r>
        <w:t xml:space="preserve">.  We recommend that </w:t>
      </w:r>
      <w:r w:rsidR="00BB124F">
        <w:t xml:space="preserve">this section </w:t>
      </w:r>
      <w:r>
        <w:t xml:space="preserve">be </w:t>
      </w:r>
      <w:r w:rsidR="005740A9">
        <w:t>modified to</w:t>
      </w:r>
      <w:r>
        <w:t xml:space="preserve"> serve as guidance</w:t>
      </w:r>
      <w:r w:rsidR="005740A9">
        <w:t xml:space="preserve"> on M&amp;V</w:t>
      </w:r>
      <w:r w:rsidR="00BB124F">
        <w:t xml:space="preserve"> approaches and to be more inclusive</w:t>
      </w:r>
      <w:r>
        <w:t>.  Attribution</w:t>
      </w:r>
      <w:r w:rsidR="005740A9">
        <w:t xml:space="preserve"> of the NAPEEE Guide </w:t>
      </w:r>
      <w:r w:rsidR="00BB124F">
        <w:t xml:space="preserve">by reference </w:t>
      </w:r>
      <w:r w:rsidR="005740A9">
        <w:t>would permit</w:t>
      </w:r>
      <w:r>
        <w:t xml:space="preserve"> users to easily locate the source document. </w:t>
      </w:r>
      <w:r w:rsidR="006253F8">
        <w:t xml:space="preserve">  </w:t>
      </w:r>
      <w:r w:rsidR="005740A9">
        <w:t>T</w:t>
      </w:r>
      <w:r>
        <w:t>he three bullets (M&amp;V, deemed savings, and large scale data analysis)</w:t>
      </w:r>
      <w:r w:rsidR="005740A9">
        <w:t xml:space="preserve"> are too lengthy and give these topic</w:t>
      </w:r>
      <w:r w:rsidR="00726F8C">
        <w:t>s</w:t>
      </w:r>
      <w:r w:rsidR="005740A9">
        <w:t xml:space="preserve"> </w:t>
      </w:r>
      <w:r w:rsidR="00726F8C">
        <w:t xml:space="preserve">undue significance and </w:t>
      </w:r>
      <w:r w:rsidR="005740A9">
        <w:t xml:space="preserve">more emphasis than is </w:t>
      </w:r>
      <w:r w:rsidR="00726F8C">
        <w:t>warranted</w:t>
      </w:r>
      <w:bookmarkStart w:id="0" w:name="_GoBack"/>
      <w:bookmarkEnd w:id="0"/>
      <w:r w:rsidR="005740A9">
        <w:t xml:space="preserve">. </w:t>
      </w:r>
    </w:p>
    <w:p w:rsidR="006866CB" w:rsidRDefault="006866CB" w:rsidP="00792DAC">
      <w:pPr>
        <w:pStyle w:val="ListParagraph"/>
        <w:numPr>
          <w:ilvl w:val="0"/>
          <w:numId w:val="1"/>
        </w:numPr>
        <w:spacing w:line="240" w:lineRule="auto"/>
        <w:contextualSpacing w:val="0"/>
      </w:pPr>
      <w:r w:rsidRPr="006866CB">
        <w:rPr>
          <w:i/>
        </w:rPr>
        <w:t>REQ.019.3.6  Site Specific Plans</w:t>
      </w:r>
      <w:r>
        <w:t>.  SCE objects to the</w:t>
      </w:r>
      <w:r w:rsidR="005740A9">
        <w:t xml:space="preserve"> explicit</w:t>
      </w:r>
      <w:r>
        <w:t xml:space="preserve"> emphasis on the IPMVP </w:t>
      </w:r>
      <w:r w:rsidR="00BB124F">
        <w:t xml:space="preserve">standard </w:t>
      </w:r>
      <w:r>
        <w:t>in this section</w:t>
      </w:r>
      <w:r w:rsidR="00792DAC">
        <w:t xml:space="preserve"> on the gronds that it is</w:t>
      </w:r>
      <w:r w:rsidR="00BB124F">
        <w:t xml:space="preserve"> too prescriptive</w:t>
      </w:r>
      <w:r>
        <w:t xml:space="preserve">.  These </w:t>
      </w:r>
      <w:r w:rsidR="005740A9">
        <w:t xml:space="preserve">particular </w:t>
      </w:r>
      <w:r>
        <w:t>protocols are applied in some jurisdictions and not in others. The IPMVP should b</w:t>
      </w:r>
      <w:r w:rsidR="005740A9">
        <w:t>e referenced in a footnote as one</w:t>
      </w:r>
      <w:r>
        <w:t xml:space="preserve"> option</w:t>
      </w:r>
      <w:r w:rsidR="00BB124F">
        <w:t xml:space="preserve"> for guidance</w:t>
      </w:r>
      <w:r w:rsidR="005740A9">
        <w:t xml:space="preserve">. SCE believes this </w:t>
      </w:r>
      <w:r w:rsidR="00BB124F">
        <w:t xml:space="preserve">approach </w:t>
      </w:r>
      <w:r w:rsidR="005740A9">
        <w:t xml:space="preserve">will give the </w:t>
      </w:r>
      <w:r w:rsidR="00BB124F">
        <w:t>NAESB document</w:t>
      </w:r>
      <w:r w:rsidR="005740A9">
        <w:t xml:space="preserve"> more universal applicability</w:t>
      </w:r>
      <w:r>
        <w:t xml:space="preserve">. </w:t>
      </w:r>
    </w:p>
    <w:p w:rsidR="006866CB" w:rsidRDefault="006866CB" w:rsidP="00792DAC">
      <w:pPr>
        <w:pStyle w:val="ListParagraph"/>
        <w:numPr>
          <w:ilvl w:val="0"/>
          <w:numId w:val="1"/>
        </w:numPr>
        <w:spacing w:line="240" w:lineRule="auto"/>
        <w:contextualSpacing w:val="0"/>
      </w:pPr>
      <w:r>
        <w:rPr>
          <w:i/>
        </w:rPr>
        <w:t>REQ</w:t>
      </w:r>
      <w:r w:rsidRPr="006866CB">
        <w:t>.</w:t>
      </w:r>
      <w:r>
        <w:t xml:space="preserve">19.3.6.1   </w:t>
      </w:r>
      <w:r w:rsidRPr="00D61C9D">
        <w:rPr>
          <w:i/>
        </w:rPr>
        <w:t>SSMVP Required Elements</w:t>
      </w:r>
      <w:r>
        <w:t>.  The final version of this do</w:t>
      </w:r>
      <w:r w:rsidR="00D61C9D">
        <w:t>cument should avoid the acronym</w:t>
      </w:r>
      <w:r>
        <w:t xml:space="preserve"> SSMVP</w:t>
      </w:r>
      <w:r w:rsidR="00D61C9D">
        <w:t xml:space="preserve"> that will not be familiar to many readers. We </w:t>
      </w:r>
      <w:r w:rsidR="00BB124F">
        <w:t xml:space="preserve">also </w:t>
      </w:r>
      <w:r w:rsidR="00D61C9D">
        <w:t xml:space="preserve">advise that subsections REQ.19.3.6.1.3-9 appear as text without separate headings, as the current structure over-emphasizes </w:t>
      </w:r>
      <w:r w:rsidR="00587269">
        <w:t>the relevance of this guidance</w:t>
      </w:r>
      <w:r w:rsidR="00D61C9D">
        <w:t xml:space="preserve">.  </w:t>
      </w:r>
      <w:r w:rsidR="00BB124F">
        <w:t>This is an editorial improvement that is not critical but will be confusing if retained.</w:t>
      </w:r>
    </w:p>
    <w:p w:rsidR="006866CB" w:rsidRDefault="00D61C9D" w:rsidP="00792DAC">
      <w:pPr>
        <w:pStyle w:val="ListParagraph"/>
        <w:numPr>
          <w:ilvl w:val="0"/>
          <w:numId w:val="1"/>
        </w:numPr>
        <w:spacing w:line="240" w:lineRule="auto"/>
        <w:contextualSpacing w:val="0"/>
      </w:pPr>
      <w:r w:rsidRPr="00D61C9D">
        <w:rPr>
          <w:i/>
        </w:rPr>
        <w:t>REQ.019.3.7  Site Specific M&amp;V Reports</w:t>
      </w:r>
      <w:r>
        <w:t xml:space="preserve">.  </w:t>
      </w:r>
      <w:r w:rsidR="00587269">
        <w:t>SCE would like for this guidance to be condensed</w:t>
      </w:r>
      <w:r w:rsidR="00BB124F">
        <w:t xml:space="preserve"> and will assist the Working Group to achieve better comprehension</w:t>
      </w:r>
      <w:r w:rsidR="00587269">
        <w:t>.</w:t>
      </w:r>
    </w:p>
    <w:p w:rsidR="00D61C9D" w:rsidRDefault="00D61C9D" w:rsidP="00792DAC">
      <w:pPr>
        <w:pStyle w:val="ListParagraph"/>
        <w:numPr>
          <w:ilvl w:val="0"/>
          <w:numId w:val="1"/>
        </w:numPr>
        <w:spacing w:line="240" w:lineRule="auto"/>
        <w:contextualSpacing w:val="0"/>
      </w:pPr>
      <w:r w:rsidRPr="00D61C9D">
        <w:rPr>
          <w:i/>
        </w:rPr>
        <w:t>EQ.019.3.11  Statistical Significance, Sampling and Other Sources of Uncertainty</w:t>
      </w:r>
      <w:r>
        <w:t xml:space="preserve">.  </w:t>
      </w:r>
      <w:r w:rsidR="00CB0AEF">
        <w:t>SCE requests that this section, and its sub-sections, be condensed</w:t>
      </w:r>
      <w:r w:rsidR="00587269">
        <w:t xml:space="preserve"> and reoriented to read more as guidance. The reference to the </w:t>
      </w:r>
      <w:r w:rsidR="00CB0AEF">
        <w:t>NAPEE Guide</w:t>
      </w:r>
      <w:r w:rsidR="00587269">
        <w:t xml:space="preserve"> should be moved to a footnote, without the information on the</w:t>
      </w:r>
      <w:r w:rsidR="00CB0AEF">
        <w:t xml:space="preserve"> location of specific material.</w:t>
      </w:r>
      <w:r w:rsidR="00BB124F">
        <w:t xml:space="preserve"> Again, this early draft will be improved with these changes.</w:t>
      </w:r>
    </w:p>
    <w:p w:rsidR="00CB0AEF" w:rsidRDefault="00CB0AEF" w:rsidP="00792DAC">
      <w:pPr>
        <w:pStyle w:val="ListParagraph"/>
        <w:numPr>
          <w:ilvl w:val="0"/>
          <w:numId w:val="1"/>
        </w:numPr>
        <w:spacing w:line="240" w:lineRule="auto"/>
        <w:contextualSpacing w:val="0"/>
      </w:pPr>
      <w:r w:rsidRPr="00CB0AEF">
        <w:rPr>
          <w:i/>
        </w:rPr>
        <w:t>REQ.019.4.9 Business Definitions</w:t>
      </w:r>
      <w:r>
        <w:t xml:space="preserve">.  </w:t>
      </w:r>
      <w:r w:rsidR="00BB124F">
        <w:t>SCE understands that t</w:t>
      </w:r>
      <w:r>
        <w:t>he final version of this document should move these definitions closer to the front</w:t>
      </w:r>
      <w:r w:rsidR="00BB124F">
        <w:t>, but subsequent drafts should also affect that change for better understanding of how the document provides guidance and understanding</w:t>
      </w:r>
      <w:r>
        <w:t>.</w:t>
      </w:r>
    </w:p>
    <w:p w:rsidR="00CB0AEF" w:rsidRDefault="00587269" w:rsidP="00792DAC">
      <w:pPr>
        <w:spacing w:line="240" w:lineRule="auto"/>
      </w:pPr>
      <w:r>
        <w:t xml:space="preserve">SCE wishes to thank the NAESB Retail Energy Efficiency Working Group for preparing this draft and soliciting early stage feedback.  </w:t>
      </w:r>
      <w:r w:rsidR="00BB124F">
        <w:t xml:space="preserve">In cooperation with our representative </w:t>
      </w:r>
      <w:r w:rsidR="00545B51">
        <w:t xml:space="preserve">Ryn </w:t>
      </w:r>
      <w:r w:rsidR="00BB124F">
        <w:t xml:space="preserve">Hamilton Consulting, NAESB staff, and other members of the </w:t>
      </w:r>
      <w:r w:rsidR="001939FE">
        <w:t>Working</w:t>
      </w:r>
      <w:r w:rsidR="00BB124F">
        <w:t xml:space="preserve"> Group, we</w:t>
      </w:r>
      <w:r>
        <w:t xml:space="preserve"> look forward to continuing to support the important work of this </w:t>
      </w:r>
      <w:r w:rsidR="00BB124F">
        <w:t>Committee</w:t>
      </w:r>
      <w:r>
        <w:t>.</w:t>
      </w:r>
    </w:p>
    <w:p w:rsidR="00CB0AEF" w:rsidRDefault="00792DAC" w:rsidP="00475F6E">
      <w:r>
        <w:rPr>
          <w:noProof/>
        </w:rPr>
        <w:drawing>
          <wp:anchor distT="0" distB="0" distL="114300" distR="114300" simplePos="0" relativeHeight="251658240" behindDoc="1" locked="0" layoutInCell="1" allowOverlap="1">
            <wp:simplePos x="0" y="0"/>
            <wp:positionH relativeFrom="column">
              <wp:posOffset>-101600</wp:posOffset>
            </wp:positionH>
            <wp:positionV relativeFrom="paragraph">
              <wp:posOffset>242570</wp:posOffset>
            </wp:positionV>
            <wp:extent cx="1111250" cy="304800"/>
            <wp:effectExtent l="19050" t="0" r="0" b="0"/>
            <wp:wrapTight wrapText="bothSides">
              <wp:wrapPolygon edited="0">
                <wp:start x="-370" y="0"/>
                <wp:lineTo x="-370" y="18900"/>
                <wp:lineTo x="21477" y="18900"/>
                <wp:lineTo x="21477" y="0"/>
                <wp:lineTo x="-370" y="0"/>
              </wp:wrapPolygon>
            </wp:wrapTight>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1111250" cy="304800"/>
                    </a:xfrm>
                    <a:prstGeom prst="rect">
                      <a:avLst/>
                    </a:prstGeom>
                    <a:noFill/>
                    <a:ln w="9525">
                      <a:noFill/>
                      <a:miter lim="800000"/>
                      <a:headEnd/>
                      <a:tailEnd/>
                    </a:ln>
                  </pic:spPr>
                </pic:pic>
              </a:graphicData>
            </a:graphic>
          </wp:anchor>
        </w:drawing>
      </w:r>
      <w:r>
        <w:t>Sincerely,</w:t>
      </w:r>
    </w:p>
    <w:p w:rsidR="00792DAC" w:rsidRDefault="00792DAC" w:rsidP="00475F6E"/>
    <w:p w:rsidR="00475F6E" w:rsidRDefault="00792DAC">
      <w:r>
        <w:t>Ryn Hamilton</w:t>
      </w:r>
    </w:p>
    <w:p w:rsidR="00900671" w:rsidRDefault="00900671"/>
    <w:sectPr w:rsidR="00900671" w:rsidSect="00A6204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EF8" w:rsidRDefault="00661EF8" w:rsidP="00612044">
      <w:pPr>
        <w:spacing w:after="0" w:line="240" w:lineRule="auto"/>
      </w:pPr>
      <w:r>
        <w:separator/>
      </w:r>
    </w:p>
  </w:endnote>
  <w:endnote w:type="continuationSeparator" w:id="0">
    <w:p w:rsidR="00661EF8" w:rsidRDefault="00661EF8" w:rsidP="006120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285" w:rsidRDefault="00922285" w:rsidP="00922285">
    <w:pPr>
      <w:pStyle w:val="Footer"/>
      <w:ind w:left="1440"/>
    </w:pPr>
    <w:r>
      <w:pict>
        <v:group id="_x0000_s2079" style="position:absolute;left:0;text-align:left;margin-left:206.35pt;margin-top:4pt;width:32.95pt;height:17.45pt;z-index:-251654144" coordorigin="5351,739" coordsize="659,349" wrapcoords="4418 0 4418 3757 16691 3757 16691 0 4418 0">
          <v:shapetype id="_x0000_t202" coordsize="21600,21600" o:spt="202" path="m,l,21600r21600,l21600,xe">
            <v:stroke joinstyle="miter"/>
            <v:path gradientshapeok="t" o:connecttype="rect"/>
          </v:shapetype>
          <v:shape id="_x0000_s2080" type="#_x0000_t202" style="position:absolute;left:5351;top:800;width:659;height:288" filled="f" stroked="f">
            <v:textbox style="mso-next-textbox:#_x0000_s2080" inset="0,0,0,0">
              <w:txbxContent>
                <w:p w:rsidR="00922285" w:rsidRDefault="00922285" w:rsidP="00922285">
                  <w:pPr>
                    <w:jc w:val="center"/>
                    <w:rPr>
                      <w:szCs w:val="18"/>
                    </w:rPr>
                  </w:pPr>
                  <w:fldSimple w:instr=" PAGE    \* MERGEFORMAT ">
                    <w:r w:rsidR="00545B51" w:rsidRPr="00545B51">
                      <w:rPr>
                        <w:i/>
                        <w:noProof/>
                        <w:sz w:val="18"/>
                        <w:szCs w:val="18"/>
                      </w:rPr>
                      <w:t>2</w:t>
                    </w:r>
                  </w:fldSimple>
                </w:p>
              </w:txbxContent>
            </v:textbox>
          </v:shape>
          <v:group id="_x0000_s2081" style="position:absolute;left:5494;top:739;width:372;height:72" coordorigin="5486,739" coordsize="372,72">
            <v:oval id="_x0000_s2082" style="position:absolute;left:5486;top:739;width:72;height:72" fillcolor="#7ba0cd [2420]" stroked="f"/>
            <v:oval id="_x0000_s2083" style="position:absolute;left:5636;top:739;width:72;height:72" fillcolor="#7ba0cd [2420]" stroked="f"/>
            <v:oval id="_x0000_s2084" style="position:absolute;left:5786;top:739;width:72;height:72" fillcolor="#7ba0cd [2420]" stroked="f"/>
          </v:group>
          <w10:wrap type="tight"/>
        </v:group>
      </w:pict>
    </w:r>
    <w:r>
      <w:t xml:space="preserve">                                                                                                   </w:t>
    </w:r>
    <w:r w:rsidRPr="001752FA">
      <w:rPr>
        <w:sz w:val="18"/>
        <w:szCs w:val="18"/>
      </w:rPr>
      <w:t>www.rynhamiltonconsulting.com</w:t>
    </w:r>
  </w:p>
  <w:p w:rsidR="00922285" w:rsidRDefault="00922285" w:rsidP="00922285">
    <w:pPr>
      <w:pStyle w:val="Footer"/>
    </w:pPr>
  </w:p>
  <w:p w:rsidR="00922285" w:rsidRDefault="00922285" w:rsidP="009222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EF8" w:rsidRDefault="00661EF8" w:rsidP="00612044">
      <w:pPr>
        <w:spacing w:after="0" w:line="240" w:lineRule="auto"/>
      </w:pPr>
      <w:r>
        <w:separator/>
      </w:r>
    </w:p>
  </w:footnote>
  <w:footnote w:type="continuationSeparator" w:id="0">
    <w:p w:rsidR="00661EF8" w:rsidRDefault="00661EF8" w:rsidP="00612044">
      <w:pPr>
        <w:spacing w:after="0" w:line="240" w:lineRule="auto"/>
      </w:pPr>
      <w:r>
        <w:continuationSeparator/>
      </w:r>
    </w:p>
  </w:footnote>
  <w:footnote w:id="1">
    <w:p w:rsidR="00922285" w:rsidRDefault="00922285" w:rsidP="00201E65">
      <w:pPr>
        <w:pStyle w:val="FootnoteText"/>
        <w:ind w:left="216" w:hanging="216"/>
      </w:pPr>
      <w:r>
        <w:rPr>
          <w:rStyle w:val="FootnoteReference"/>
        </w:rPr>
        <w:footnoteRef/>
      </w:r>
      <w:r>
        <w:t xml:space="preserve">   </w:t>
      </w:r>
      <w:r>
        <w:rPr>
          <w:sz w:val="18"/>
          <w:szCs w:val="18"/>
        </w:rPr>
        <w:t xml:space="preserve">These </w:t>
      </w:r>
      <w:r w:rsidR="006F26D6">
        <w:rPr>
          <w:sz w:val="18"/>
          <w:szCs w:val="18"/>
        </w:rPr>
        <w:t xml:space="preserve">informal </w:t>
      </w:r>
      <w:r>
        <w:rPr>
          <w:sz w:val="18"/>
          <w:szCs w:val="18"/>
        </w:rPr>
        <w:t>comments</w:t>
      </w:r>
      <w:r w:rsidR="006F26D6">
        <w:rPr>
          <w:sz w:val="18"/>
          <w:szCs w:val="18"/>
        </w:rPr>
        <w:t xml:space="preserve"> </w:t>
      </w:r>
      <w:r>
        <w:rPr>
          <w:sz w:val="18"/>
          <w:szCs w:val="18"/>
        </w:rPr>
        <w:t xml:space="preserve">are in response to an email from </w:t>
      </w:r>
      <w:r w:rsidR="006F26D6">
        <w:rPr>
          <w:sz w:val="18"/>
          <w:szCs w:val="18"/>
        </w:rPr>
        <w:t>NAESB</w:t>
      </w:r>
      <w:r w:rsidR="00792DAC">
        <w:rPr>
          <w:sz w:val="18"/>
          <w:szCs w:val="18"/>
        </w:rPr>
        <w:t xml:space="preserve"> (</w:t>
      </w:r>
      <w:r w:rsidR="006F26D6">
        <w:rPr>
          <w:sz w:val="18"/>
          <w:szCs w:val="18"/>
        </w:rPr>
        <w:t>July 25, 2011</w:t>
      </w:r>
      <w:r w:rsidR="00792DAC">
        <w:rPr>
          <w:sz w:val="18"/>
          <w:szCs w:val="18"/>
        </w:rPr>
        <w:t>)</w:t>
      </w:r>
      <w:r w:rsidR="006F26D6">
        <w:rPr>
          <w:sz w:val="18"/>
          <w:szCs w:val="18"/>
        </w:rPr>
        <w:t xml:space="preserve"> </w:t>
      </w:r>
      <w:r w:rsidR="00792DAC">
        <w:rPr>
          <w:sz w:val="18"/>
          <w:szCs w:val="18"/>
        </w:rPr>
        <w:t xml:space="preserve">for participant </w:t>
      </w:r>
      <w:r w:rsidR="00201E65">
        <w:rPr>
          <w:sz w:val="18"/>
          <w:szCs w:val="18"/>
        </w:rPr>
        <w:t>feedback on</w:t>
      </w:r>
      <w:r w:rsidR="006F26D6">
        <w:rPr>
          <w:sz w:val="18"/>
          <w:szCs w:val="18"/>
        </w:rPr>
        <w:t xml:space="preserve"> the draft standard</w:t>
      </w:r>
      <w:r w:rsidR="00792DAC">
        <w:rPr>
          <w:sz w:val="18"/>
          <w:szCs w:val="18"/>
        </w:rPr>
        <w:t xml:space="preserve"> (July 12, 2011).  This document is</w:t>
      </w:r>
      <w:r w:rsidR="006F26D6">
        <w:rPr>
          <w:sz w:val="18"/>
          <w:szCs w:val="18"/>
        </w:rPr>
        <w:t xml:space="preserve"> found at:</w:t>
      </w:r>
      <w:r w:rsidRPr="00922285">
        <w:rPr>
          <w:sz w:val="18"/>
          <w:szCs w:val="18"/>
        </w:rPr>
        <w:t xml:space="preserve">   </w:t>
      </w:r>
      <w:hyperlink r:id="rId1" w:history="1">
        <w:r w:rsidRPr="00922285">
          <w:rPr>
            <w:rStyle w:val="Hyperlink"/>
            <w:sz w:val="18"/>
            <w:szCs w:val="18"/>
          </w:rPr>
          <w:t>http://www.naesb.org/pdf4/dsmee_retail_ee_071811w1.docx</w:t>
        </w:r>
      </w:hyperlink>
      <w:r w:rsidR="00201E65">
        <w:rPr>
          <w:sz w:val="18"/>
          <w:szCs w:val="18"/>
        </w:rPr>
        <w:t>.</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044" w:rsidRDefault="00922285" w:rsidP="00612044">
    <w:pPr>
      <w:pStyle w:val="Header"/>
      <w:ind w:left="-90" w:firstLine="90"/>
    </w:pPr>
    <w:r w:rsidRPr="00922285">
      <w:drawing>
        <wp:inline distT="0" distB="0" distL="0" distR="0">
          <wp:extent cx="5943600" cy="412750"/>
          <wp:effectExtent l="19050" t="0" r="0" b="0"/>
          <wp:docPr id="9" name="Object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38729" cy="635093"/>
                    <a:chOff x="0" y="739484"/>
                    <a:chExt cx="9138729" cy="635093"/>
                  </a:xfrm>
                </a:grpSpPr>
                <a:pic>
                  <a:nvPicPr>
                    <a:cNvPr id="1027" name="Picture 3"/>
                    <a:cNvPicPr>
                      <a:picLocks noChangeAspect="1" noChangeArrowheads="1"/>
                    </a:cNvPicPr>
                  </a:nvPicPr>
                  <a:blipFill>
                    <a:blip r:embed="rId1" cstate="print"/>
                    <a:srcRect/>
                    <a:stretch>
                      <a:fillRect/>
                    </a:stretch>
                  </a:blipFill>
                  <a:spPr bwMode="auto">
                    <a:xfrm>
                      <a:off x="0" y="739484"/>
                      <a:ext cx="2590800" cy="555916"/>
                    </a:xfrm>
                    <a:prstGeom prst="rect">
                      <a:avLst/>
                    </a:prstGeom>
                    <a:noFill/>
                    <a:ln w="9525">
                      <a:noFill/>
                      <a:miter lim="800000"/>
                      <a:headEnd/>
                      <a:tailEnd/>
                    </a:ln>
                  </a:spPr>
                </a:pic>
                <a:cxnSp>
                  <a:nvCxnSpPr>
                    <a:cNvPr id="7" name="Straight Connector 6"/>
                    <a:cNvCxnSpPr/>
                  </a:nvCxnSpPr>
                  <a:spPr>
                    <a:xfrm>
                      <a:off x="0" y="1371600"/>
                      <a:ext cx="9144000" cy="0"/>
                    </a:xfrm>
                    <a:prstGeom prst="line">
                      <a:avLst/>
                    </a:prstGeom>
                    <a:ln w="22225">
                      <a:solidFill>
                        <a:schemeClr val="tx1"/>
                      </a:solidFill>
                    </a:ln>
                  </a:spPr>
                  <a:style>
                    <a:lnRef idx="1">
                      <a:schemeClr val="accent1"/>
                    </a:lnRef>
                    <a:fillRef idx="0">
                      <a:schemeClr val="accent1"/>
                    </a:fillRef>
                    <a:effectRef idx="0">
                      <a:schemeClr val="accent1"/>
                    </a:effectRef>
                    <a:fontRef idx="minor">
                      <a:schemeClr val="tx1"/>
                    </a:fontRef>
                  </a:style>
                </a:cxnSp>
                <a:sp>
                  <a:nvSpPr>
                    <a:cNvPr id="8" name="TextBox 7"/>
                    <a:cNvSpPr txBox="1"/>
                  </a:nvSpPr>
                  <a:spPr>
                    <a:xfrm>
                      <a:off x="6400800" y="1066800"/>
                      <a:ext cx="2737929"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chemeClr val="tx1">
                                <a:lumMod val="50000"/>
                                <a:lumOff val="50000"/>
                              </a:schemeClr>
                            </a:solidFill>
                            <a:latin typeface="Cambria" pitchFamily="18" charset="0"/>
                          </a:rPr>
                          <a:t>www.rynhamiltonconsulting.com</a:t>
                        </a:r>
                        <a:endParaRPr lang="en-US" sz="1400" dirty="0">
                          <a:solidFill>
                            <a:schemeClr val="tx1">
                              <a:lumMod val="50000"/>
                              <a:lumOff val="50000"/>
                            </a:schemeClr>
                          </a:solidFill>
                          <a:latin typeface="Cambria" pitchFamily="18" charset="0"/>
                        </a:endParaRPr>
                      </a:p>
                    </a:txBody>
                    <a:useSpRect/>
                  </a:txSp>
                </a:sp>
              </lc:lockedCanvas>
            </a:graphicData>
          </a:graphic>
        </wp:inline>
      </w:drawing>
    </w:r>
  </w:p>
  <w:p w:rsidR="00612044" w:rsidRDefault="00612044">
    <w:pPr>
      <w:pStyle w:val="Header"/>
    </w:pPr>
  </w:p>
  <w:p w:rsidR="00612044" w:rsidRDefault="00612044">
    <w:pPr>
      <w:pStyle w:val="Header"/>
    </w:pPr>
  </w:p>
  <w:p w:rsidR="00612044" w:rsidRDefault="006120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7B1" w:rsidRDefault="001B37B1" w:rsidP="00612044">
    <w:pPr>
      <w:pStyle w:val="Header"/>
      <w:ind w:left="-90" w:firstLine="90"/>
    </w:pPr>
  </w:p>
  <w:p w:rsidR="001B37B1" w:rsidRDefault="00922285">
    <w:pPr>
      <w:pStyle w:val="Header"/>
    </w:pPr>
    <w:r>
      <w:rPr>
        <w:noProof/>
      </w:rPr>
      <w:drawing>
        <wp:anchor distT="0" distB="0" distL="114300" distR="114300" simplePos="0" relativeHeight="251665408" behindDoc="1" locked="0" layoutInCell="1" allowOverlap="1">
          <wp:simplePos x="0" y="0"/>
          <wp:positionH relativeFrom="column">
            <wp:posOffset>-63500</wp:posOffset>
          </wp:positionH>
          <wp:positionV relativeFrom="paragraph">
            <wp:posOffset>38735</wp:posOffset>
          </wp:positionV>
          <wp:extent cx="1073150" cy="266700"/>
          <wp:effectExtent l="19050" t="0" r="0" b="0"/>
          <wp:wrapTight wrapText="bothSides">
            <wp:wrapPolygon edited="0">
              <wp:start x="-383" y="0"/>
              <wp:lineTo x="-383" y="20057"/>
              <wp:lineTo x="21472" y="20057"/>
              <wp:lineTo x="21472" y="0"/>
              <wp:lineTo x="-383" y="0"/>
            </wp:wrapPolygon>
          </wp:wrapTight>
          <wp:docPr id="18"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srcRect/>
                  <a:stretch>
                    <a:fillRect/>
                  </a:stretch>
                </pic:blipFill>
                <pic:spPr bwMode="auto">
                  <a:xfrm>
                    <a:off x="0" y="0"/>
                    <a:ext cx="1073150" cy="266700"/>
                  </a:xfrm>
                  <a:prstGeom prst="rect">
                    <a:avLst/>
                  </a:prstGeom>
                  <a:noFill/>
                  <a:ln w="9525">
                    <a:noFill/>
                    <a:miter lim="800000"/>
                    <a:headEnd/>
                    <a:tailEnd/>
                  </a:ln>
                </pic:spPr>
              </pic:pic>
            </a:graphicData>
          </a:graphic>
        </wp:anchor>
      </w:drawing>
    </w:r>
  </w:p>
  <w:p w:rsidR="001B37B1" w:rsidRDefault="001B37B1">
    <w:pPr>
      <w:pStyle w:val="Header"/>
    </w:pPr>
  </w:p>
  <w:p w:rsidR="001B37B1" w:rsidRDefault="001B37B1">
    <w:pPr>
      <w:pStyle w:val="Header"/>
    </w:pPr>
  </w:p>
  <w:p w:rsidR="001B37B1" w:rsidRDefault="001B37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04D6E"/>
    <w:multiLevelType w:val="hybridMultilevel"/>
    <w:tmpl w:val="6E96DA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compat>
  <w:rsids>
    <w:rsidRoot w:val="00D372D9"/>
    <w:rsid w:val="00157B0E"/>
    <w:rsid w:val="001939FE"/>
    <w:rsid w:val="001B37B1"/>
    <w:rsid w:val="00201E65"/>
    <w:rsid w:val="00475F6E"/>
    <w:rsid w:val="0049618B"/>
    <w:rsid w:val="00544AE3"/>
    <w:rsid w:val="00545B51"/>
    <w:rsid w:val="005740A9"/>
    <w:rsid w:val="00587269"/>
    <w:rsid w:val="005F38CC"/>
    <w:rsid w:val="00612044"/>
    <w:rsid w:val="006253F8"/>
    <w:rsid w:val="00661EF8"/>
    <w:rsid w:val="006866CB"/>
    <w:rsid w:val="006870C7"/>
    <w:rsid w:val="006F26D6"/>
    <w:rsid w:val="00726F8C"/>
    <w:rsid w:val="00744124"/>
    <w:rsid w:val="00745C45"/>
    <w:rsid w:val="00792DAC"/>
    <w:rsid w:val="00860874"/>
    <w:rsid w:val="00900671"/>
    <w:rsid w:val="00922285"/>
    <w:rsid w:val="00A40F8D"/>
    <w:rsid w:val="00A62044"/>
    <w:rsid w:val="00BA2810"/>
    <w:rsid w:val="00BB124F"/>
    <w:rsid w:val="00CB0AEF"/>
    <w:rsid w:val="00D372D9"/>
    <w:rsid w:val="00D61C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F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2D9"/>
    <w:pPr>
      <w:ind w:left="720"/>
      <w:contextualSpacing/>
    </w:pPr>
  </w:style>
  <w:style w:type="paragraph" w:styleId="Header">
    <w:name w:val="header"/>
    <w:basedOn w:val="Normal"/>
    <w:link w:val="HeaderChar"/>
    <w:uiPriority w:val="99"/>
    <w:unhideWhenUsed/>
    <w:rsid w:val="00612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044"/>
  </w:style>
  <w:style w:type="paragraph" w:styleId="Footer">
    <w:name w:val="footer"/>
    <w:basedOn w:val="Normal"/>
    <w:link w:val="FooterChar"/>
    <w:uiPriority w:val="99"/>
    <w:unhideWhenUsed/>
    <w:rsid w:val="00612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044"/>
  </w:style>
  <w:style w:type="paragraph" w:styleId="BalloonText">
    <w:name w:val="Balloon Text"/>
    <w:basedOn w:val="Normal"/>
    <w:link w:val="BalloonTextChar"/>
    <w:uiPriority w:val="99"/>
    <w:semiHidden/>
    <w:unhideWhenUsed/>
    <w:rsid w:val="00612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044"/>
    <w:rPr>
      <w:rFonts w:ascii="Tahoma" w:hAnsi="Tahoma" w:cs="Tahoma"/>
      <w:sz w:val="16"/>
      <w:szCs w:val="16"/>
    </w:rPr>
  </w:style>
  <w:style w:type="paragraph" w:styleId="FootnoteText">
    <w:name w:val="footnote text"/>
    <w:basedOn w:val="Normal"/>
    <w:link w:val="FootnoteTextChar"/>
    <w:uiPriority w:val="99"/>
    <w:semiHidden/>
    <w:unhideWhenUsed/>
    <w:rsid w:val="009222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2285"/>
    <w:rPr>
      <w:sz w:val="20"/>
      <w:szCs w:val="20"/>
    </w:rPr>
  </w:style>
  <w:style w:type="character" w:styleId="FootnoteReference">
    <w:name w:val="footnote reference"/>
    <w:basedOn w:val="DefaultParagraphFont"/>
    <w:uiPriority w:val="99"/>
    <w:semiHidden/>
    <w:unhideWhenUsed/>
    <w:rsid w:val="00922285"/>
    <w:rPr>
      <w:vertAlign w:val="superscript"/>
    </w:rPr>
  </w:style>
  <w:style w:type="character" w:styleId="Hyperlink">
    <w:name w:val="Hyperlink"/>
    <w:basedOn w:val="DefaultParagraphFont"/>
    <w:uiPriority w:val="99"/>
    <w:unhideWhenUsed/>
    <w:rsid w:val="009222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2D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www.naesb.org/pdf4/dsmee_retail_ee_071811w1.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F1369-E282-4720-9486-F50DF87A0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Ryn</dc:creator>
  <cp:keywords/>
  <dc:description/>
  <cp:lastModifiedBy> Ryn</cp:lastModifiedBy>
  <cp:revision>3</cp:revision>
  <cp:lastPrinted>2011-07-28T17:48:00Z</cp:lastPrinted>
  <dcterms:created xsi:type="dcterms:W3CDTF">2011-07-28T19:26:00Z</dcterms:created>
  <dcterms:modified xsi:type="dcterms:W3CDTF">2011-07-28T19:29:00Z</dcterms:modified>
</cp:coreProperties>
</file>