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760"/>
        <w:gridCol w:w="1260"/>
        <w:gridCol w:w="1440"/>
      </w:tblGrid>
      <w:tr w:rsidR="008C64E9" w:rsidRPr="00273022" w:rsidTr="009304BC">
        <w:trPr>
          <w:tblHeader/>
        </w:trPr>
        <w:tc>
          <w:tcPr>
            <w:tcW w:w="9360" w:type="dxa"/>
            <w:gridSpan w:val="5"/>
            <w:tcBorders>
              <w:top w:val="single" w:sz="4" w:space="0" w:color="auto"/>
              <w:bottom w:val="single" w:sz="4" w:space="0" w:color="auto"/>
            </w:tcBorders>
          </w:tcPr>
          <w:p w:rsidR="008C64E9" w:rsidRPr="00273022" w:rsidRDefault="008C64E9" w:rsidP="007E73E2">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t>2011 Annual Plan for the Wholesale Gas Quadrant Executive Committee</w:t>
            </w:r>
            <w:r w:rsidRPr="00273022">
              <w:br/>
            </w:r>
            <w:r w:rsidRPr="00273022">
              <w:rPr>
                <w:rFonts w:ascii="Times New Roman" w:hAnsi="Times New Roman"/>
                <w:b/>
                <w:sz w:val="18"/>
                <w:szCs w:val="18"/>
              </w:rPr>
              <w:t xml:space="preserve">As Approved by the Board of Directors on </w:t>
            </w:r>
            <w:r w:rsidR="007E73E2">
              <w:rPr>
                <w:rFonts w:ascii="Times New Roman" w:hAnsi="Times New Roman"/>
                <w:b/>
                <w:sz w:val="18"/>
                <w:szCs w:val="18"/>
              </w:rPr>
              <w:t>12-8-11</w:t>
            </w:r>
          </w:p>
        </w:tc>
      </w:tr>
      <w:tr w:rsidR="008C64E9" w:rsidRPr="00273022" w:rsidTr="00160E66">
        <w:trPr>
          <w:tblHeader/>
        </w:trPr>
        <w:tc>
          <w:tcPr>
            <w:tcW w:w="6660" w:type="dxa"/>
            <w:gridSpan w:val="3"/>
            <w:tcBorders>
              <w:bottom w:val="single" w:sz="4" w:space="0" w:color="auto"/>
            </w:tcBorders>
          </w:tcPr>
          <w:p w:rsidR="008C64E9" w:rsidRPr="00273022" w:rsidRDefault="008C64E9"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260" w:type="dxa"/>
            <w:tcBorders>
              <w:bottom w:val="single" w:sz="4" w:space="0" w:color="auto"/>
            </w:tcBorders>
          </w:tcPr>
          <w:p w:rsidR="008C64E9" w:rsidRPr="00273022" w:rsidRDefault="008C64E9"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8C64E9" w:rsidRPr="00273022" w:rsidRDefault="008C64E9"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8C64E9" w:rsidRPr="00273022" w:rsidTr="00E36E57">
        <w:tc>
          <w:tcPr>
            <w:tcW w:w="9360" w:type="dxa"/>
            <w:gridSpan w:val="5"/>
            <w:tcBorders>
              <w:top w:val="single" w:sz="4" w:space="0" w:color="auto"/>
            </w:tcBorders>
          </w:tcPr>
          <w:p w:rsidR="008C64E9" w:rsidRPr="00273022" w:rsidRDefault="008C64E9"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8"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8C64E9" w:rsidRPr="00273022" w:rsidRDefault="008C64E9"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64E9" w:rsidRPr="00273022" w:rsidTr="00160E66">
        <w:tc>
          <w:tcPr>
            <w:tcW w:w="360" w:type="dxa"/>
          </w:tcPr>
          <w:p w:rsidR="008C64E9" w:rsidRPr="00273022" w:rsidRDefault="008C64E9" w:rsidP="009977D6">
            <w:pPr>
              <w:pStyle w:val="TableText"/>
              <w:spacing w:before="120" w:after="120"/>
              <w:ind w:left="144"/>
              <w:rPr>
                <w:rFonts w:ascii="Times New Roman" w:hAnsi="Times New Roman"/>
                <w:b/>
                <w:sz w:val="18"/>
                <w:szCs w:val="18"/>
              </w:rPr>
            </w:pPr>
          </w:p>
        </w:tc>
        <w:tc>
          <w:tcPr>
            <w:tcW w:w="540" w:type="dxa"/>
          </w:tcPr>
          <w:p w:rsidR="008C64E9" w:rsidRPr="00273022" w:rsidRDefault="008C64E9"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 xml:space="preserve">Continue reordering of standards by topic and as future standards are added, standards continue to be ordered in topic format.  </w:t>
            </w:r>
          </w:p>
          <w:p w:rsidR="008C64E9" w:rsidRPr="00273022" w:rsidRDefault="008C64E9"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26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2012</w:t>
            </w:r>
          </w:p>
        </w:tc>
        <w:tc>
          <w:tcPr>
            <w:tcW w:w="14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64E9" w:rsidRPr="00273022" w:rsidTr="00521C97">
        <w:tc>
          <w:tcPr>
            <w:tcW w:w="9360" w:type="dxa"/>
            <w:gridSpan w:val="5"/>
          </w:tcPr>
          <w:p w:rsidR="008C64E9" w:rsidRPr="00273022" w:rsidRDefault="008C64E9"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Review</w:t>
            </w:r>
            <w:r w:rsidRPr="00273022" w:rsidDel="00FA64A7">
              <w:rPr>
                <w:rFonts w:ascii="Times New Roman" w:hAnsi="Times New Roman"/>
                <w:sz w:val="18"/>
                <w:szCs w:val="18"/>
              </w:rPr>
              <w:t xml:space="preserve"> </w:t>
            </w:r>
            <w:r w:rsidRPr="00273022">
              <w:rPr>
                <w:rFonts w:ascii="Times New Roman" w:hAnsi="Times New Roman"/>
                <w:sz w:val="18"/>
                <w:szCs w:val="18"/>
                <w:vertAlign w:val="superscript"/>
              </w:rPr>
              <w:t>3</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9" w:history="1">
              <w:r w:rsidRPr="00273022">
                <w:rPr>
                  <w:rStyle w:val="Hyperlink"/>
                  <w:rFonts w:ascii="Times New Roman" w:hAnsi="Times New Roman"/>
                  <w:sz w:val="18"/>
                  <w:szCs w:val="18"/>
                </w:rPr>
                <w:t>Sample Paper Review Request</w:t>
              </w:r>
            </w:hyperlink>
            <w:r w:rsidRPr="00273022">
              <w:rPr>
                <w:rFonts w:ascii="Times New Roman" w:hAnsi="Times New Roman"/>
                <w:sz w:val="18"/>
                <w:szCs w:val="18"/>
              </w:rPr>
              <w:t>)</w:t>
            </w:r>
          </w:p>
          <w:p w:rsidR="008C64E9" w:rsidRPr="00273022" w:rsidRDefault="008C64E9"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8C64E9" w:rsidRPr="00273022" w:rsidDel="00C50F13" w:rsidRDefault="008C64E9" w:rsidP="009977D6">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r w:rsidRPr="00273022" w:rsidDel="00FA64A7">
              <w:rPr>
                <w:rFonts w:ascii="Times New Roman" w:hAnsi="Times New Roman"/>
                <w:color w:val="auto"/>
                <w:sz w:val="18"/>
                <w:szCs w:val="18"/>
              </w:rPr>
              <w:t xml:space="preserve"> </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8C64E9" w:rsidRPr="00273022" w:rsidRDefault="008C64E9"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Del="00FA64A7" w:rsidRDefault="008C64E9" w:rsidP="002F1C26">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8C64E9" w:rsidRPr="00273022" w:rsidDel="00FA64A7" w:rsidRDefault="008C64E9"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8C64E9" w:rsidRPr="00273022" w:rsidTr="00521C97">
        <w:tc>
          <w:tcPr>
            <w:tcW w:w="9360" w:type="dxa"/>
            <w:gridSpan w:val="5"/>
          </w:tcPr>
          <w:p w:rsidR="008C64E9" w:rsidRPr="00273022" w:rsidRDefault="008C64E9"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AA6253">
            <w:pPr>
              <w:pStyle w:val="TableText"/>
              <w:spacing w:before="60" w:after="60"/>
              <w:ind w:left="144"/>
              <w:rPr>
                <w:rFonts w:ascii="Times New Roman" w:hAnsi="Times New Roman"/>
                <w:caps/>
                <w:sz w:val="18"/>
                <w:szCs w:val="18"/>
              </w:rPr>
            </w:pPr>
            <w:r w:rsidRPr="00273022">
              <w:rPr>
                <w:rFonts w:ascii="Times New Roman" w:hAnsi="Times New Roman"/>
                <w:sz w:val="18"/>
                <w:szCs w:val="18"/>
              </w:rPr>
              <w:t>Plan for the review of code values and code value descriptions in all data sets to make them easier to understand on the TSPs’ EBB web sites.  (</w:t>
            </w:r>
            <w:hyperlink r:id="rId10" w:history="1">
              <w:r w:rsidRPr="00273022">
                <w:rPr>
                  <w:rStyle w:val="Hyperlink"/>
                  <w:rFonts w:ascii="Times New Roman" w:hAnsi="Times New Roman"/>
                  <w:sz w:val="18"/>
                  <w:szCs w:val="18"/>
                </w:rPr>
                <w:t>EBB Code Request</w:t>
              </w:r>
            </w:hyperlink>
            <w:r w:rsidRPr="00273022">
              <w:rPr>
                <w:rFonts w:ascii="Times New Roman" w:hAnsi="Times New Roman"/>
                <w:sz w:val="18"/>
                <w:szCs w:val="18"/>
              </w:rPr>
              <w:t>)</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2011</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review code values and code value descriptions in all data sets to make them easier to understand on the TSPs’ EBB web sites.  </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64E9" w:rsidRPr="00273022" w:rsidTr="00521C97">
        <w:tc>
          <w:tcPr>
            <w:tcW w:w="9360" w:type="dxa"/>
            <w:gridSpan w:val="5"/>
          </w:tcPr>
          <w:p w:rsidR="008C64E9" w:rsidRPr="00273022" w:rsidRDefault="008C64E9"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760" w:type="dxa"/>
          </w:tcPr>
          <w:p w:rsidR="008C64E9" w:rsidRPr="00273022" w:rsidRDefault="008C64E9"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1" w:history="1">
              <w:r w:rsidRPr="00273022">
                <w:rPr>
                  <w:rStyle w:val="Hyperlink"/>
                  <w:rFonts w:ascii="Times New Roman" w:hAnsi="Times New Roman"/>
                  <w:caps/>
                  <w:sz w:val="18"/>
                  <w:szCs w:val="18"/>
                </w:rPr>
                <w:t>E</w:t>
              </w:r>
              <w:r w:rsidRPr="00273022">
                <w:rPr>
                  <w:rStyle w:val="Hyperlink"/>
                  <w:rFonts w:ascii="Times New Roman" w:hAnsi="Times New Roman"/>
                  <w:sz w:val="18"/>
                  <w:szCs w:val="18"/>
                </w:rPr>
                <w:t>rror Code Request</w:t>
              </w:r>
            </w:hyperlink>
            <w:r w:rsidRPr="00273022">
              <w:rPr>
                <w:rFonts w:ascii="Times New Roman" w:hAnsi="Times New Roman"/>
                <w:sz w:val="18"/>
                <w:szCs w:val="18"/>
              </w:rPr>
              <w:t>)</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Complete</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3</w:t>
            </w:r>
            <w:r w:rsidRPr="00273022">
              <w:rPr>
                <w:rFonts w:ascii="Times New Roman" w:hAnsi="Times New Roman"/>
                <w:color w:val="auto"/>
                <w:sz w:val="18"/>
                <w:szCs w:val="18"/>
                <w:vertAlign w:val="superscript"/>
              </w:rPr>
              <w:t>rd</w:t>
            </w:r>
            <w:r w:rsidRPr="00273022">
              <w:rPr>
                <w:rFonts w:ascii="Times New Roman" w:hAnsi="Times New Roman"/>
                <w:color w:val="auto"/>
                <w:sz w:val="18"/>
                <w:szCs w:val="18"/>
              </w:rPr>
              <w:t xml:space="preserve">  Q, 2011</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64E9" w:rsidRPr="00273022" w:rsidTr="00160E66">
        <w:tc>
          <w:tcPr>
            <w:tcW w:w="360" w:type="dxa"/>
          </w:tcPr>
          <w:p w:rsidR="008C64E9" w:rsidRPr="00273022" w:rsidRDefault="008C64E9" w:rsidP="009977D6">
            <w:pPr>
              <w:pStyle w:val="TableText"/>
              <w:spacing w:before="60" w:after="60"/>
              <w:ind w:left="144"/>
              <w:rPr>
                <w:rFonts w:ascii="Times New Roman" w:hAnsi="Times New Roman"/>
                <w:sz w:val="18"/>
                <w:szCs w:val="18"/>
              </w:rPr>
            </w:pPr>
          </w:p>
        </w:tc>
        <w:tc>
          <w:tcPr>
            <w:tcW w:w="54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b.</w:t>
            </w:r>
          </w:p>
        </w:tc>
        <w:tc>
          <w:tcPr>
            <w:tcW w:w="5760" w:type="dxa"/>
          </w:tcPr>
          <w:p w:rsidR="008C64E9" w:rsidRPr="00273022" w:rsidRDefault="008C64E9"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8C64E9" w:rsidRPr="00273022" w:rsidRDefault="008C64E9"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260" w:type="dxa"/>
          </w:tcPr>
          <w:p w:rsidR="008C64E9" w:rsidRPr="00273022" w:rsidRDefault="008C64E9"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Q, 2012</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8C64E9" w:rsidRPr="00273022" w:rsidTr="00521C97">
        <w:tc>
          <w:tcPr>
            <w:tcW w:w="9360" w:type="dxa"/>
            <w:gridSpan w:val="5"/>
          </w:tcPr>
          <w:p w:rsidR="008C64E9" w:rsidRPr="00273022" w:rsidRDefault="008C64E9" w:rsidP="00524F7D">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lastRenderedPageBreak/>
              <w:t>5.  Electronic Delivery Mechanisms</w:t>
            </w:r>
          </w:p>
        </w:tc>
      </w:tr>
      <w:tr w:rsidR="008C64E9" w:rsidRPr="00273022" w:rsidTr="00160E66">
        <w:tc>
          <w:tcPr>
            <w:tcW w:w="360" w:type="dxa"/>
          </w:tcPr>
          <w:p w:rsidR="008C64E9" w:rsidRPr="00273022" w:rsidRDefault="008C64E9" w:rsidP="009977D6">
            <w:pPr>
              <w:pStyle w:val="Signature"/>
              <w:spacing w:before="60" w:after="60"/>
              <w:ind w:left="144"/>
              <w:rPr>
                <w:sz w:val="18"/>
                <w:szCs w:val="18"/>
              </w:rPr>
            </w:pPr>
          </w:p>
        </w:tc>
        <w:tc>
          <w:tcPr>
            <w:tcW w:w="6300" w:type="dxa"/>
            <w:gridSpan w:val="2"/>
          </w:tcPr>
          <w:p w:rsidR="008C64E9" w:rsidRPr="00273022" w:rsidRDefault="008C64E9"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p>
          <w:p w:rsidR="008C64E9" w:rsidRPr="00273022" w:rsidRDefault="008C64E9" w:rsidP="00AA6253">
            <w:pPr>
              <w:spacing w:before="60" w:after="60"/>
              <w:ind w:left="144"/>
              <w:rPr>
                <w:sz w:val="18"/>
                <w:szCs w:val="18"/>
              </w:rPr>
            </w:pPr>
            <w:r w:rsidRPr="00273022">
              <w:rPr>
                <w:sz w:val="18"/>
                <w:szCs w:val="18"/>
              </w:rPr>
              <w:t>Status:  Not Started</w:t>
            </w:r>
          </w:p>
        </w:tc>
        <w:tc>
          <w:tcPr>
            <w:tcW w:w="1260" w:type="dxa"/>
          </w:tcPr>
          <w:p w:rsidR="008C64E9" w:rsidRPr="00273022" w:rsidRDefault="008C64E9"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8C64E9" w:rsidRPr="00273022" w:rsidTr="00521C97">
        <w:tc>
          <w:tcPr>
            <w:tcW w:w="9360" w:type="dxa"/>
            <w:gridSpan w:val="5"/>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6.  NAESB Base Contract Review and Update</w:t>
            </w:r>
          </w:p>
        </w:tc>
      </w:tr>
      <w:tr w:rsidR="008C64E9" w:rsidRPr="00273022" w:rsidTr="00521C97">
        <w:tc>
          <w:tcPr>
            <w:tcW w:w="360" w:type="dxa"/>
          </w:tcPr>
          <w:p w:rsidR="008C64E9" w:rsidRPr="00273022" w:rsidRDefault="008C64E9" w:rsidP="009977D6">
            <w:pPr>
              <w:pStyle w:val="Signature"/>
              <w:spacing w:before="60" w:after="60"/>
              <w:ind w:left="144"/>
              <w:rPr>
                <w:sz w:val="18"/>
                <w:szCs w:val="18"/>
              </w:rPr>
            </w:pPr>
          </w:p>
        </w:tc>
        <w:tc>
          <w:tcPr>
            <w:tcW w:w="9000" w:type="dxa"/>
            <w:gridSpan w:val="4"/>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8C64E9" w:rsidRPr="00273022" w:rsidTr="00160E66">
        <w:tc>
          <w:tcPr>
            <w:tcW w:w="360" w:type="dxa"/>
          </w:tcPr>
          <w:p w:rsidR="008C64E9" w:rsidRPr="00273022" w:rsidRDefault="008C64E9" w:rsidP="009977D6">
            <w:pPr>
              <w:pStyle w:val="Signature"/>
              <w:spacing w:before="60" w:after="60"/>
              <w:ind w:left="144"/>
              <w:rPr>
                <w:sz w:val="18"/>
                <w:szCs w:val="18"/>
              </w:rPr>
            </w:pPr>
          </w:p>
        </w:tc>
        <w:tc>
          <w:tcPr>
            <w:tcW w:w="540" w:type="dxa"/>
          </w:tcPr>
          <w:p w:rsidR="008C64E9" w:rsidRPr="00273022" w:rsidRDefault="008C64E9" w:rsidP="009977D6">
            <w:pPr>
              <w:keepNext/>
              <w:keepLines/>
              <w:spacing w:before="60" w:after="60"/>
              <w:ind w:left="144"/>
              <w:rPr>
                <w:sz w:val="18"/>
                <w:szCs w:val="18"/>
              </w:rPr>
            </w:pPr>
            <w:r w:rsidRPr="00273022">
              <w:rPr>
                <w:sz w:val="18"/>
                <w:szCs w:val="18"/>
              </w:rPr>
              <w:t>a.</w:t>
            </w:r>
          </w:p>
        </w:tc>
        <w:tc>
          <w:tcPr>
            <w:tcW w:w="5760" w:type="dxa"/>
          </w:tcPr>
          <w:p w:rsidR="008C64E9" w:rsidRPr="00273022" w:rsidRDefault="008C64E9"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NAESB Base Contract review and update</w:t>
            </w:r>
          </w:p>
          <w:p w:rsidR="008C64E9" w:rsidRPr="00273022" w:rsidRDefault="008C64E9" w:rsidP="0057406E">
            <w:pPr>
              <w:keepNext/>
              <w:keepLines/>
              <w:spacing w:before="60" w:after="60"/>
              <w:ind w:left="144"/>
              <w:rPr>
                <w:sz w:val="18"/>
                <w:szCs w:val="18"/>
              </w:rPr>
            </w:pPr>
            <w:r w:rsidRPr="00273022">
              <w:rPr>
                <w:sz w:val="18"/>
                <w:szCs w:val="18"/>
              </w:rPr>
              <w:t>Status:  Complete</w:t>
            </w:r>
          </w:p>
        </w:tc>
        <w:tc>
          <w:tcPr>
            <w:tcW w:w="1260" w:type="dxa"/>
          </w:tcPr>
          <w:p w:rsidR="008C64E9" w:rsidRPr="00273022" w:rsidRDefault="008C64E9"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8C64E9" w:rsidRPr="00273022" w:rsidTr="00160E66">
        <w:tc>
          <w:tcPr>
            <w:tcW w:w="360" w:type="dxa"/>
          </w:tcPr>
          <w:p w:rsidR="008C64E9" w:rsidRPr="00273022" w:rsidRDefault="008C64E9" w:rsidP="009977D6">
            <w:pPr>
              <w:pStyle w:val="Signature"/>
              <w:spacing w:before="60" w:after="60"/>
              <w:ind w:left="144"/>
              <w:rPr>
                <w:sz w:val="18"/>
                <w:szCs w:val="18"/>
              </w:rPr>
            </w:pPr>
          </w:p>
        </w:tc>
        <w:tc>
          <w:tcPr>
            <w:tcW w:w="540" w:type="dxa"/>
          </w:tcPr>
          <w:p w:rsidR="008C64E9" w:rsidRPr="00273022" w:rsidRDefault="008C64E9" w:rsidP="009977D6">
            <w:pPr>
              <w:keepNext/>
              <w:keepLines/>
              <w:spacing w:before="60" w:after="60"/>
              <w:ind w:left="144"/>
              <w:rPr>
                <w:sz w:val="18"/>
                <w:szCs w:val="18"/>
              </w:rPr>
            </w:pPr>
            <w:r w:rsidRPr="00273022">
              <w:rPr>
                <w:sz w:val="18"/>
                <w:szCs w:val="18"/>
              </w:rPr>
              <w:t>b.</w:t>
            </w:r>
          </w:p>
        </w:tc>
        <w:tc>
          <w:tcPr>
            <w:tcW w:w="5760" w:type="dxa"/>
          </w:tcPr>
          <w:p w:rsidR="008C64E9" w:rsidRPr="00273022" w:rsidRDefault="008C64E9" w:rsidP="00521C97">
            <w:pPr>
              <w:pStyle w:val="TableText"/>
              <w:spacing w:before="60" w:after="60"/>
              <w:ind w:left="144"/>
              <w:rPr>
                <w:rFonts w:ascii="Times New Roman" w:hAnsi="Times New Roman"/>
                <w:sz w:val="18"/>
                <w:szCs w:val="18"/>
              </w:rPr>
            </w:pPr>
            <w:r w:rsidRPr="00273022">
              <w:rPr>
                <w:rFonts w:ascii="Times New Roman" w:hAnsi="Times New Roman"/>
                <w:sz w:val="18"/>
                <w:szCs w:val="18"/>
              </w:rPr>
              <w:t>Canadian Addendum, ISDA Amendment, Model Credit Support Addendum and Frequently Ask Questions review and update</w:t>
            </w:r>
          </w:p>
          <w:p w:rsidR="008C64E9" w:rsidRPr="00273022" w:rsidRDefault="008C64E9" w:rsidP="0057406E">
            <w:pPr>
              <w:keepNext/>
              <w:keepLines/>
              <w:spacing w:before="60" w:after="60"/>
              <w:ind w:left="144"/>
              <w:rPr>
                <w:sz w:val="18"/>
                <w:szCs w:val="18"/>
              </w:rPr>
            </w:pPr>
            <w:r w:rsidRPr="00273022">
              <w:rPr>
                <w:sz w:val="18"/>
                <w:szCs w:val="18"/>
              </w:rPr>
              <w:t>Status: Complete</w:t>
            </w:r>
          </w:p>
        </w:tc>
        <w:tc>
          <w:tcPr>
            <w:tcW w:w="1260" w:type="dxa"/>
          </w:tcPr>
          <w:p w:rsidR="008C64E9" w:rsidRPr="00273022" w:rsidRDefault="008C64E9" w:rsidP="00334BB5">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Q, 2011</w:t>
            </w:r>
          </w:p>
        </w:tc>
        <w:tc>
          <w:tcPr>
            <w:tcW w:w="1440" w:type="dxa"/>
          </w:tcPr>
          <w:p w:rsidR="008C64E9" w:rsidRPr="00273022" w:rsidRDefault="008C64E9"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8C64E9" w:rsidRPr="00273022" w:rsidTr="00334BB5">
        <w:tc>
          <w:tcPr>
            <w:tcW w:w="9360" w:type="dxa"/>
            <w:gridSpan w:val="5"/>
          </w:tcPr>
          <w:p w:rsidR="008C64E9" w:rsidRPr="00273022" w:rsidRDefault="008C64E9" w:rsidP="00AA6253">
            <w:pPr>
              <w:spacing w:before="60" w:after="60"/>
              <w:ind w:left="144"/>
              <w:rPr>
                <w:sz w:val="18"/>
                <w:szCs w:val="18"/>
              </w:rPr>
            </w:pPr>
            <w:r w:rsidRPr="00273022">
              <w:rPr>
                <w:b/>
                <w:sz w:val="18"/>
                <w:szCs w:val="18"/>
              </w:rPr>
              <w:t>7.  Common Codes</w:t>
            </w:r>
          </w:p>
        </w:tc>
      </w:tr>
      <w:tr w:rsidR="008C64E9" w:rsidRPr="00273022" w:rsidTr="00160E66">
        <w:tc>
          <w:tcPr>
            <w:tcW w:w="360" w:type="dxa"/>
          </w:tcPr>
          <w:p w:rsidR="008C64E9" w:rsidRPr="00273022" w:rsidRDefault="008C64E9" w:rsidP="00AA6253">
            <w:pPr>
              <w:pStyle w:val="Signature"/>
              <w:spacing w:before="60" w:after="60"/>
              <w:ind w:left="144"/>
              <w:rPr>
                <w:sz w:val="18"/>
                <w:szCs w:val="18"/>
              </w:rPr>
            </w:pPr>
          </w:p>
        </w:tc>
        <w:tc>
          <w:tcPr>
            <w:tcW w:w="540" w:type="dxa"/>
          </w:tcPr>
          <w:p w:rsidR="008C64E9" w:rsidRPr="00273022" w:rsidRDefault="008C64E9" w:rsidP="004D4B93">
            <w:pPr>
              <w:spacing w:before="60" w:after="60"/>
              <w:ind w:left="144"/>
              <w:rPr>
                <w:sz w:val="18"/>
                <w:szCs w:val="18"/>
              </w:rPr>
            </w:pPr>
            <w:r w:rsidRPr="00273022">
              <w:rPr>
                <w:sz w:val="18"/>
                <w:szCs w:val="18"/>
              </w:rPr>
              <w:t>a.</w:t>
            </w:r>
          </w:p>
        </w:tc>
        <w:tc>
          <w:tcPr>
            <w:tcW w:w="5760" w:type="dxa"/>
          </w:tcPr>
          <w:p w:rsidR="008C64E9" w:rsidRPr="00273022" w:rsidRDefault="008C64E9" w:rsidP="004D4B93">
            <w:pPr>
              <w:spacing w:before="60" w:after="60"/>
              <w:ind w:left="144"/>
              <w:rPr>
                <w:sz w:val="18"/>
                <w:szCs w:val="18"/>
              </w:rPr>
            </w:pPr>
            <w:r w:rsidRPr="00273022">
              <w:rPr>
                <w:sz w:val="18"/>
                <w:szCs w:val="18"/>
              </w:rPr>
              <w:t>Determine if location common codes as formulated are needed.</w:t>
            </w:r>
          </w:p>
          <w:p w:rsidR="008C64E9" w:rsidRPr="00273022" w:rsidRDefault="008C64E9" w:rsidP="00004CA4">
            <w:pPr>
              <w:spacing w:before="60" w:after="60"/>
              <w:ind w:left="144"/>
              <w:rPr>
                <w:sz w:val="18"/>
                <w:szCs w:val="18"/>
              </w:rPr>
            </w:pPr>
            <w:r w:rsidRPr="00273022">
              <w:rPr>
                <w:sz w:val="18"/>
                <w:szCs w:val="18"/>
              </w:rPr>
              <w:t xml:space="preserve">Status:  </w:t>
            </w:r>
            <w:r>
              <w:rPr>
                <w:sz w:val="18"/>
                <w:szCs w:val="18"/>
              </w:rPr>
              <w:t>Complete</w:t>
            </w:r>
          </w:p>
        </w:tc>
        <w:tc>
          <w:tcPr>
            <w:tcW w:w="1260" w:type="dxa"/>
          </w:tcPr>
          <w:p w:rsidR="008C64E9" w:rsidRPr="00273022" w:rsidDel="000B3F0E" w:rsidRDefault="008C64E9" w:rsidP="004D4B93">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w:t>
            </w:r>
            <w:r w:rsidRPr="00273022">
              <w:rPr>
                <w:rFonts w:ascii="Times New Roman" w:hAnsi="Times New Roman"/>
                <w:color w:val="auto"/>
                <w:sz w:val="18"/>
                <w:szCs w:val="18"/>
              </w:rPr>
              <w:t xml:space="preserve"> Q, 2011</w:t>
            </w:r>
          </w:p>
        </w:tc>
        <w:tc>
          <w:tcPr>
            <w:tcW w:w="1440" w:type="dxa"/>
          </w:tcPr>
          <w:p w:rsidR="008C64E9" w:rsidRPr="00273022" w:rsidRDefault="008C64E9"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BPS</w:t>
            </w:r>
          </w:p>
        </w:tc>
      </w:tr>
      <w:tr w:rsidR="008C64E9" w:rsidRPr="00273022" w:rsidTr="00160E66">
        <w:tc>
          <w:tcPr>
            <w:tcW w:w="360" w:type="dxa"/>
          </w:tcPr>
          <w:p w:rsidR="008C64E9" w:rsidRPr="00273022" w:rsidRDefault="008C64E9" w:rsidP="00AA6253">
            <w:pPr>
              <w:pStyle w:val="Signature"/>
              <w:spacing w:before="60" w:after="60"/>
              <w:ind w:left="144"/>
              <w:rPr>
                <w:sz w:val="18"/>
                <w:szCs w:val="18"/>
              </w:rPr>
            </w:pPr>
          </w:p>
        </w:tc>
        <w:tc>
          <w:tcPr>
            <w:tcW w:w="540" w:type="dxa"/>
          </w:tcPr>
          <w:p w:rsidR="008C64E9" w:rsidRPr="00273022" w:rsidRDefault="008C64E9" w:rsidP="004D4B93">
            <w:pPr>
              <w:spacing w:before="60" w:after="60"/>
              <w:ind w:left="144"/>
              <w:rPr>
                <w:sz w:val="18"/>
                <w:szCs w:val="18"/>
              </w:rPr>
            </w:pPr>
            <w:r w:rsidRPr="00273022">
              <w:rPr>
                <w:sz w:val="18"/>
                <w:szCs w:val="18"/>
              </w:rPr>
              <w:t>b.</w:t>
            </w:r>
          </w:p>
        </w:tc>
        <w:tc>
          <w:tcPr>
            <w:tcW w:w="5760" w:type="dxa"/>
          </w:tcPr>
          <w:p w:rsidR="008C64E9" w:rsidRPr="00273022" w:rsidRDefault="008C64E9" w:rsidP="004D4B93">
            <w:pPr>
              <w:spacing w:before="60" w:after="60"/>
              <w:ind w:left="144"/>
              <w:rPr>
                <w:sz w:val="18"/>
                <w:szCs w:val="18"/>
              </w:rPr>
            </w:pPr>
            <w:r>
              <w:rPr>
                <w:sz w:val="18"/>
                <w:szCs w:val="18"/>
              </w:rPr>
              <w:t xml:space="preserve">Modify standards for the </w:t>
            </w:r>
            <w:r w:rsidRPr="00273022">
              <w:rPr>
                <w:sz w:val="18"/>
                <w:szCs w:val="18"/>
              </w:rPr>
              <w:t>removal of location common code from NAESB WGQ standards.</w:t>
            </w:r>
          </w:p>
          <w:p w:rsidR="008C64E9" w:rsidRPr="00273022" w:rsidRDefault="008C64E9" w:rsidP="00004CA4">
            <w:pPr>
              <w:spacing w:before="60" w:after="60"/>
              <w:ind w:left="144"/>
              <w:rPr>
                <w:sz w:val="18"/>
                <w:szCs w:val="18"/>
              </w:rPr>
            </w:pPr>
            <w:r w:rsidRPr="00273022">
              <w:rPr>
                <w:sz w:val="18"/>
                <w:szCs w:val="18"/>
              </w:rPr>
              <w:t xml:space="preserve">Status:  </w:t>
            </w:r>
            <w:r>
              <w:rPr>
                <w:sz w:val="18"/>
                <w:szCs w:val="18"/>
              </w:rPr>
              <w:t>Underway</w:t>
            </w:r>
          </w:p>
        </w:tc>
        <w:tc>
          <w:tcPr>
            <w:tcW w:w="1260" w:type="dxa"/>
          </w:tcPr>
          <w:p w:rsidR="008C64E9" w:rsidRPr="00273022" w:rsidRDefault="008C64E9" w:rsidP="004D4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160E66">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440" w:type="dxa"/>
          </w:tcPr>
          <w:p w:rsidR="008C64E9" w:rsidRPr="00273022" w:rsidRDefault="008C64E9" w:rsidP="004D4B93">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IR/Technical</w:t>
            </w:r>
          </w:p>
        </w:tc>
      </w:tr>
      <w:tr w:rsidR="008C64E9" w:rsidRPr="00273022" w:rsidTr="00696B47">
        <w:tc>
          <w:tcPr>
            <w:tcW w:w="9360" w:type="dxa"/>
            <w:gridSpan w:val="5"/>
          </w:tcPr>
          <w:p w:rsidR="008C64E9" w:rsidRPr="00273022" w:rsidRDefault="008C64E9" w:rsidP="00B5210B">
            <w:pPr>
              <w:spacing w:before="60" w:after="60"/>
              <w:ind w:left="144"/>
              <w:rPr>
                <w:sz w:val="18"/>
                <w:szCs w:val="18"/>
              </w:rPr>
            </w:pPr>
            <w:r w:rsidRPr="00273022">
              <w:rPr>
                <w:b/>
                <w:sz w:val="18"/>
                <w:szCs w:val="18"/>
              </w:rPr>
              <w:t>8.  Changes to the WGQ Standards to support consistency with Retail and WEQ Activities</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Pr="00273022" w:rsidRDefault="008C64E9" w:rsidP="00A60D74">
            <w:pPr>
              <w:spacing w:before="60" w:after="60"/>
              <w:ind w:left="144"/>
              <w:rPr>
                <w:sz w:val="18"/>
                <w:szCs w:val="18"/>
              </w:rPr>
            </w:pPr>
            <w:r w:rsidRPr="00273022">
              <w:rPr>
                <w:sz w:val="18"/>
                <w:szCs w:val="18"/>
              </w:rPr>
              <w:t>a.</w:t>
            </w:r>
          </w:p>
        </w:tc>
        <w:tc>
          <w:tcPr>
            <w:tcW w:w="5760" w:type="dxa"/>
          </w:tcPr>
          <w:p w:rsidR="008C64E9" w:rsidRPr="00273022" w:rsidRDefault="008C64E9" w:rsidP="00B5210B">
            <w:pPr>
              <w:spacing w:before="60" w:after="60"/>
              <w:ind w:left="144"/>
              <w:rPr>
                <w:sz w:val="18"/>
                <w:szCs w:val="18"/>
              </w:rPr>
            </w:pPr>
            <w:r w:rsidRPr="00273022">
              <w:rPr>
                <w:sz w:val="18"/>
                <w:szCs w:val="18"/>
              </w:rPr>
              <w:t>Review and determine if changes to the Internet Electronic Transport Manual related to the trading partner agreement are needed, and make appropriate changes consistent with  Annual Plan Item 10 of the Retail 2011 Annual Plan</w:t>
            </w:r>
          </w:p>
          <w:p w:rsidR="008C64E9" w:rsidRPr="00273022" w:rsidRDefault="008C64E9" w:rsidP="00B5210B">
            <w:pPr>
              <w:spacing w:before="60" w:after="60"/>
              <w:ind w:left="144"/>
              <w:rPr>
                <w:sz w:val="18"/>
                <w:szCs w:val="18"/>
              </w:rPr>
            </w:pPr>
            <w:r w:rsidRPr="00273022">
              <w:rPr>
                <w:sz w:val="18"/>
                <w:szCs w:val="18"/>
              </w:rPr>
              <w:t>Status:  Complete</w:t>
            </w:r>
          </w:p>
        </w:tc>
        <w:tc>
          <w:tcPr>
            <w:tcW w:w="1260" w:type="dxa"/>
          </w:tcPr>
          <w:p w:rsidR="008C64E9" w:rsidRPr="00273022" w:rsidDel="000B3F0E" w:rsidRDefault="008C64E9" w:rsidP="00B5210B">
            <w:pPr>
              <w:pStyle w:val="TableText"/>
              <w:spacing w:before="60" w:after="60"/>
              <w:ind w:left="144"/>
              <w:rPr>
                <w:rFonts w:ascii="Times New Roman" w:hAnsi="Times New Roman"/>
                <w:sz w:val="18"/>
                <w:szCs w:val="18"/>
              </w:rPr>
            </w:pPr>
            <w:r w:rsidRPr="00273022">
              <w:rPr>
                <w:rFonts w:ascii="Times New Roman" w:hAnsi="Times New Roman"/>
                <w:sz w:val="18"/>
                <w:szCs w:val="18"/>
              </w:rPr>
              <w:t>4</w:t>
            </w:r>
            <w:r w:rsidRPr="00273022">
              <w:rPr>
                <w:rFonts w:ascii="Times New Roman" w:hAnsi="Times New Roman"/>
                <w:sz w:val="18"/>
                <w:szCs w:val="18"/>
                <w:vertAlign w:val="superscript"/>
              </w:rPr>
              <w:t>th</w:t>
            </w:r>
            <w:r w:rsidRPr="00273022">
              <w:rPr>
                <w:rFonts w:ascii="Times New Roman" w:hAnsi="Times New Roman"/>
                <w:color w:val="auto"/>
                <w:sz w:val="18"/>
                <w:szCs w:val="18"/>
              </w:rPr>
              <w:t xml:space="preserve"> Q, 2011</w:t>
            </w:r>
          </w:p>
        </w:tc>
        <w:tc>
          <w:tcPr>
            <w:tcW w:w="1440" w:type="dxa"/>
          </w:tcPr>
          <w:p w:rsidR="008C64E9" w:rsidRPr="00273022" w:rsidRDefault="008C64E9" w:rsidP="00A60D7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Contracts Subcommittee and EDM Subcommittee</w:t>
            </w:r>
          </w:p>
        </w:tc>
      </w:tr>
      <w:tr w:rsidR="008C64E9" w:rsidRPr="00273022" w:rsidTr="00CD611E">
        <w:tc>
          <w:tcPr>
            <w:tcW w:w="9360" w:type="dxa"/>
            <w:gridSpan w:val="5"/>
          </w:tcPr>
          <w:p w:rsidR="008C64E9" w:rsidRPr="00273022" w:rsidRDefault="008C64E9" w:rsidP="00A60D74">
            <w:pPr>
              <w:pStyle w:val="TableText"/>
              <w:spacing w:before="60" w:after="60"/>
              <w:ind w:left="144"/>
              <w:rPr>
                <w:rFonts w:ascii="Times New Roman" w:hAnsi="Times New Roman"/>
                <w:color w:val="auto"/>
                <w:sz w:val="18"/>
                <w:szCs w:val="18"/>
              </w:rPr>
            </w:pPr>
            <w:r w:rsidRPr="00E22AD6">
              <w:rPr>
                <w:rFonts w:ascii="Times New Roman" w:hAnsi="Times New Roman"/>
                <w:b/>
                <w:color w:val="auto"/>
                <w:sz w:val="18"/>
                <w:szCs w:val="18"/>
              </w:rPr>
              <w:t>9.</w:t>
            </w:r>
            <w:r>
              <w:rPr>
                <w:b/>
                <w:sz w:val="18"/>
                <w:szCs w:val="18"/>
              </w:rPr>
              <w:t xml:space="preserve">  Session</w:t>
            </w:r>
            <w:r w:rsidRPr="00343AD4">
              <w:rPr>
                <w:b/>
                <w:sz w:val="18"/>
                <w:szCs w:val="18"/>
              </w:rPr>
              <w:t xml:space="preserve"> </w:t>
            </w:r>
            <w:r>
              <w:rPr>
                <w:b/>
                <w:sz w:val="18"/>
                <w:szCs w:val="18"/>
              </w:rPr>
              <w:t>E</w:t>
            </w:r>
            <w:r w:rsidRPr="00343AD4">
              <w:rPr>
                <w:b/>
                <w:sz w:val="18"/>
                <w:szCs w:val="18"/>
              </w:rPr>
              <w:t>ncryption</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Pr="00273022" w:rsidRDefault="008C64E9" w:rsidP="00A60D74">
            <w:pPr>
              <w:spacing w:before="60" w:after="60"/>
              <w:ind w:left="144"/>
              <w:rPr>
                <w:sz w:val="18"/>
                <w:szCs w:val="18"/>
              </w:rPr>
            </w:pPr>
            <w:r>
              <w:rPr>
                <w:sz w:val="18"/>
                <w:szCs w:val="18"/>
              </w:rPr>
              <w:t>a.</w:t>
            </w:r>
          </w:p>
        </w:tc>
        <w:tc>
          <w:tcPr>
            <w:tcW w:w="5760" w:type="dxa"/>
          </w:tcPr>
          <w:p w:rsidR="008C64E9" w:rsidRPr="00A92B93" w:rsidRDefault="008C64E9" w:rsidP="00E22AD6">
            <w:pPr>
              <w:pStyle w:val="TableText"/>
              <w:spacing w:before="60" w:after="60"/>
              <w:ind w:left="144"/>
              <w:rPr>
                <w:rFonts w:ascii="Times New Roman" w:hAnsi="Times New Roman"/>
                <w:sz w:val="18"/>
                <w:szCs w:val="18"/>
              </w:rPr>
            </w:pPr>
            <w:r w:rsidRPr="00E22AD6">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hyperlink r:id="rId12"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8C64E9" w:rsidRPr="00273022" w:rsidRDefault="008C64E9" w:rsidP="00B5210B">
            <w:pPr>
              <w:spacing w:before="60" w:after="60"/>
              <w:ind w:left="144"/>
              <w:rPr>
                <w:sz w:val="18"/>
                <w:szCs w:val="18"/>
              </w:rPr>
            </w:pPr>
            <w:r w:rsidRPr="00A92B93">
              <w:rPr>
                <w:sz w:val="18"/>
                <w:szCs w:val="18"/>
              </w:rPr>
              <w:t>Status:  Not Started</w:t>
            </w:r>
          </w:p>
        </w:tc>
        <w:tc>
          <w:tcPr>
            <w:tcW w:w="1260" w:type="dxa"/>
          </w:tcPr>
          <w:p w:rsidR="008C64E9" w:rsidRPr="00273022"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8C64E9" w:rsidRPr="00273022" w:rsidRDefault="008C64E9" w:rsidP="00A60D74">
            <w:pPr>
              <w:pStyle w:val="TableText"/>
              <w:spacing w:before="60" w:after="60"/>
              <w:ind w:left="144"/>
              <w:rPr>
                <w:rFonts w:ascii="Times New Roman" w:hAnsi="Times New Roman"/>
                <w:color w:val="auto"/>
                <w:sz w:val="18"/>
                <w:szCs w:val="18"/>
              </w:rPr>
            </w:pPr>
            <w:r>
              <w:rPr>
                <w:rFonts w:ascii="Times New Roman" w:hAnsi="Times New Roman"/>
                <w:sz w:val="18"/>
                <w:szCs w:val="18"/>
              </w:rPr>
              <w:t>EDM</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Pr="00273022" w:rsidRDefault="008C64E9" w:rsidP="00A60D74">
            <w:pPr>
              <w:spacing w:before="60" w:after="60"/>
              <w:ind w:left="144"/>
              <w:rPr>
                <w:sz w:val="18"/>
                <w:szCs w:val="18"/>
              </w:rPr>
            </w:pPr>
            <w:r>
              <w:rPr>
                <w:sz w:val="18"/>
                <w:szCs w:val="18"/>
              </w:rPr>
              <w:t>b.</w:t>
            </w:r>
          </w:p>
        </w:tc>
        <w:tc>
          <w:tcPr>
            <w:tcW w:w="5760" w:type="dxa"/>
          </w:tcPr>
          <w:p w:rsidR="008C64E9" w:rsidRPr="00A92B93" w:rsidRDefault="008C64E9" w:rsidP="00E22AD6">
            <w:pPr>
              <w:pStyle w:val="TableText"/>
              <w:spacing w:before="60" w:after="60"/>
              <w:ind w:left="144"/>
              <w:rPr>
                <w:rFonts w:ascii="Times New Roman" w:hAnsi="Times New Roman"/>
                <w:sz w:val="18"/>
                <w:szCs w:val="18"/>
              </w:rPr>
            </w:pPr>
            <w:r w:rsidRPr="00E22AD6">
              <w:rPr>
                <w:rFonts w:ascii="Times New Roman" w:hAnsi="Times New Roman"/>
                <w:sz w:val="18"/>
                <w:szCs w:val="18"/>
              </w:rPr>
              <w:t>Modify or develop standards as needed to apply the analysis of the above item (9a)</w:t>
            </w:r>
            <w:r w:rsidRPr="00A92B93">
              <w:rPr>
                <w:rFonts w:ascii="Times New Roman" w:hAnsi="Times New Roman"/>
                <w:sz w:val="18"/>
                <w:szCs w:val="18"/>
              </w:rPr>
              <w:t xml:space="preserve"> </w:t>
            </w:r>
          </w:p>
          <w:p w:rsidR="008C64E9" w:rsidRPr="00273022" w:rsidRDefault="008C64E9" w:rsidP="00B5210B">
            <w:pPr>
              <w:spacing w:before="60" w:after="60"/>
              <w:ind w:left="144"/>
              <w:rPr>
                <w:sz w:val="18"/>
                <w:szCs w:val="18"/>
              </w:rPr>
            </w:pPr>
            <w:r w:rsidRPr="00A92B93">
              <w:rPr>
                <w:sz w:val="18"/>
                <w:szCs w:val="18"/>
              </w:rPr>
              <w:t>Status:  Not Started</w:t>
            </w:r>
          </w:p>
        </w:tc>
        <w:tc>
          <w:tcPr>
            <w:tcW w:w="1260" w:type="dxa"/>
          </w:tcPr>
          <w:p w:rsidR="008C64E9" w:rsidRPr="00273022"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E22AD6">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8C64E9" w:rsidRPr="00273022" w:rsidRDefault="008C64E9"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EDM</w:t>
            </w:r>
          </w:p>
        </w:tc>
      </w:tr>
      <w:tr w:rsidR="008C64E9" w:rsidRPr="00273022" w:rsidTr="003200FA">
        <w:tblPrEx>
          <w:tblCellMar>
            <w:left w:w="108" w:type="dxa"/>
            <w:right w:w="108" w:type="dxa"/>
          </w:tblCellMar>
        </w:tblPrEx>
        <w:tc>
          <w:tcPr>
            <w:tcW w:w="9360" w:type="dxa"/>
            <w:gridSpan w:val="5"/>
          </w:tcPr>
          <w:p w:rsidR="008C64E9" w:rsidRDefault="008C64E9">
            <w:pPr>
              <w:pStyle w:val="TableText"/>
              <w:spacing w:before="60" w:after="60"/>
              <w:ind w:left="144"/>
              <w:rPr>
                <w:rFonts w:ascii="Times New Roman" w:hAnsi="Times New Roman"/>
                <w:color w:val="auto"/>
                <w:sz w:val="18"/>
                <w:szCs w:val="18"/>
              </w:rPr>
            </w:pPr>
            <w:r w:rsidRPr="00160E66">
              <w:rPr>
                <w:rFonts w:ascii="Times New Roman" w:hAnsi="Times New Roman"/>
                <w:b/>
                <w:color w:val="auto"/>
                <w:sz w:val="18"/>
                <w:szCs w:val="18"/>
              </w:rPr>
              <w:t>10.  Capacity Release Program</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6300" w:type="dxa"/>
            <w:gridSpan w:val="2"/>
          </w:tcPr>
          <w:p w:rsidR="008C64E9" w:rsidRDefault="008C64E9" w:rsidP="00E22AD6">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NAESB WGQ Standard No. 5.3.2 and modify as necessary</w:t>
            </w:r>
          </w:p>
          <w:p w:rsidR="008C64E9" w:rsidRPr="00E22AD6" w:rsidRDefault="008C64E9" w:rsidP="00E22AD6">
            <w:pPr>
              <w:pStyle w:val="TableText"/>
              <w:spacing w:before="60" w:after="60"/>
              <w:ind w:left="144"/>
              <w:rPr>
                <w:rFonts w:ascii="Times New Roman" w:hAnsi="Times New Roman"/>
                <w:sz w:val="18"/>
                <w:szCs w:val="18"/>
              </w:rPr>
            </w:pPr>
            <w:r>
              <w:rPr>
                <w:rFonts w:ascii="Times New Roman" w:hAnsi="Times New Roman"/>
                <w:color w:val="auto"/>
                <w:sz w:val="18"/>
                <w:szCs w:val="18"/>
              </w:rPr>
              <w:t>Status:  Not Started.</w:t>
            </w:r>
          </w:p>
        </w:tc>
        <w:tc>
          <w:tcPr>
            <w:tcW w:w="1260" w:type="dxa"/>
          </w:tcPr>
          <w:p w:rsidR="008C64E9"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FF2634">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8C64E9" w:rsidRDefault="008C64E9"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64E9" w:rsidRPr="00273022" w:rsidTr="00160E66">
        <w:tc>
          <w:tcPr>
            <w:tcW w:w="6660" w:type="dxa"/>
            <w:gridSpan w:val="3"/>
          </w:tcPr>
          <w:p w:rsidR="008C64E9" w:rsidRDefault="008C64E9" w:rsidP="00E22AD6">
            <w:pPr>
              <w:pStyle w:val="TableText"/>
              <w:spacing w:before="60" w:after="60"/>
              <w:ind w:left="144"/>
              <w:rPr>
                <w:rFonts w:ascii="Times New Roman" w:hAnsi="Times New Roman"/>
                <w:color w:val="auto"/>
                <w:sz w:val="18"/>
                <w:szCs w:val="18"/>
              </w:rPr>
            </w:pPr>
            <w:r w:rsidRPr="00FF2634">
              <w:rPr>
                <w:rFonts w:ascii="Times New Roman" w:hAnsi="Times New Roman"/>
                <w:b/>
                <w:sz w:val="18"/>
                <w:szCs w:val="18"/>
              </w:rPr>
              <w:t>1</w:t>
            </w:r>
            <w:r>
              <w:rPr>
                <w:rFonts w:ascii="Times New Roman" w:hAnsi="Times New Roman"/>
                <w:b/>
                <w:sz w:val="18"/>
                <w:szCs w:val="18"/>
              </w:rPr>
              <w:t>1</w:t>
            </w:r>
            <w:r w:rsidRPr="00FF2634">
              <w:rPr>
                <w:rFonts w:ascii="Times New Roman" w:hAnsi="Times New Roman"/>
                <w:b/>
                <w:sz w:val="18"/>
                <w:szCs w:val="18"/>
              </w:rPr>
              <w:t>.</w:t>
            </w:r>
            <w:r>
              <w:rPr>
                <w:rFonts w:ascii="Times New Roman" w:hAnsi="Times New Roman"/>
                <w:b/>
                <w:sz w:val="18"/>
                <w:szCs w:val="18"/>
              </w:rPr>
              <w:t xml:space="preserve">  Usage designation for data (NAESB WGQ Standard No. 1.2.2)</w:t>
            </w:r>
          </w:p>
        </w:tc>
        <w:tc>
          <w:tcPr>
            <w:tcW w:w="1260" w:type="dxa"/>
          </w:tcPr>
          <w:p w:rsidR="008C64E9" w:rsidRDefault="008C64E9" w:rsidP="00B5210B">
            <w:pPr>
              <w:pStyle w:val="TableText"/>
              <w:spacing w:before="60" w:after="60"/>
              <w:ind w:left="144"/>
              <w:rPr>
                <w:rFonts w:ascii="Times New Roman" w:hAnsi="Times New Roman"/>
                <w:sz w:val="18"/>
                <w:szCs w:val="18"/>
              </w:rPr>
            </w:pPr>
          </w:p>
        </w:tc>
        <w:tc>
          <w:tcPr>
            <w:tcW w:w="1440" w:type="dxa"/>
          </w:tcPr>
          <w:p w:rsidR="008C64E9" w:rsidRDefault="008C64E9" w:rsidP="00A60D74">
            <w:pPr>
              <w:pStyle w:val="TableText"/>
              <w:spacing w:before="60" w:after="60"/>
              <w:ind w:left="144"/>
              <w:rPr>
                <w:rFonts w:ascii="Times New Roman" w:hAnsi="Times New Roman"/>
                <w:color w:val="auto"/>
                <w:sz w:val="18"/>
                <w:szCs w:val="18"/>
              </w:rPr>
            </w:pP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Default="008C64E9" w:rsidP="00E22AD6">
            <w:pPr>
              <w:pStyle w:val="TableText"/>
              <w:spacing w:before="60" w:after="60"/>
              <w:ind w:left="144"/>
              <w:rPr>
                <w:rFonts w:ascii="Times New Roman" w:hAnsi="Times New Roman"/>
                <w:color w:val="auto"/>
                <w:sz w:val="18"/>
                <w:szCs w:val="18"/>
              </w:rPr>
            </w:pPr>
            <w:r>
              <w:rPr>
                <w:sz w:val="18"/>
                <w:szCs w:val="18"/>
              </w:rPr>
              <w:t>a.</w:t>
            </w:r>
          </w:p>
        </w:tc>
        <w:tc>
          <w:tcPr>
            <w:tcW w:w="5760" w:type="dxa"/>
          </w:tcPr>
          <w:p w:rsidR="008C64E9" w:rsidRPr="00343AD4" w:rsidRDefault="008C64E9" w:rsidP="00FF2634">
            <w:pPr>
              <w:pStyle w:val="TableText"/>
              <w:spacing w:before="60" w:after="60"/>
              <w:ind w:left="144"/>
              <w:rPr>
                <w:rFonts w:ascii="Times New Roman" w:hAnsi="Times New Roman"/>
                <w:sz w:val="18"/>
                <w:szCs w:val="18"/>
              </w:rPr>
            </w:pPr>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r w:rsidRPr="00343AD4">
              <w:rPr>
                <w:rFonts w:ascii="Times New Roman" w:hAnsi="Times New Roman"/>
                <w:sz w:val="18"/>
                <w:szCs w:val="18"/>
              </w:rPr>
              <w:t xml:space="preserve"> </w:t>
            </w:r>
          </w:p>
          <w:p w:rsidR="008C64E9" w:rsidRDefault="008C64E9" w:rsidP="00160E66">
            <w:pPr>
              <w:pStyle w:val="TableText"/>
              <w:spacing w:before="60" w:after="60"/>
              <w:ind w:left="144"/>
              <w:rPr>
                <w:rFonts w:ascii="Times New Roman" w:hAnsi="Times New Roman"/>
                <w:color w:val="auto"/>
                <w:sz w:val="18"/>
                <w:szCs w:val="18"/>
              </w:rPr>
            </w:pPr>
            <w:r w:rsidRPr="00343AD4">
              <w:rPr>
                <w:rFonts w:ascii="Times New Roman" w:hAnsi="Times New Roman"/>
                <w:sz w:val="18"/>
                <w:szCs w:val="18"/>
              </w:rPr>
              <w:lastRenderedPageBreak/>
              <w:t xml:space="preserve">Status:  </w:t>
            </w:r>
            <w:r>
              <w:rPr>
                <w:rFonts w:ascii="Times New Roman" w:hAnsi="Times New Roman"/>
                <w:sz w:val="18"/>
                <w:szCs w:val="18"/>
              </w:rPr>
              <w:t>Underway</w:t>
            </w:r>
          </w:p>
        </w:tc>
        <w:tc>
          <w:tcPr>
            <w:tcW w:w="1260" w:type="dxa"/>
          </w:tcPr>
          <w:p w:rsidR="008C64E9"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lastRenderedPageBreak/>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8C64E9" w:rsidRDefault="008C64E9"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64E9" w:rsidRPr="00273022" w:rsidTr="00160E66">
        <w:tc>
          <w:tcPr>
            <w:tcW w:w="360" w:type="dxa"/>
          </w:tcPr>
          <w:p w:rsidR="008C64E9" w:rsidRPr="00273022" w:rsidRDefault="008C64E9" w:rsidP="00A60D74">
            <w:pPr>
              <w:pStyle w:val="Signature"/>
              <w:spacing w:before="60" w:after="60"/>
              <w:ind w:left="144"/>
              <w:rPr>
                <w:sz w:val="18"/>
                <w:szCs w:val="18"/>
              </w:rPr>
            </w:pPr>
          </w:p>
        </w:tc>
        <w:tc>
          <w:tcPr>
            <w:tcW w:w="540" w:type="dxa"/>
          </w:tcPr>
          <w:p w:rsidR="008C64E9" w:rsidRDefault="008C64E9" w:rsidP="00E22AD6">
            <w:pPr>
              <w:pStyle w:val="TableText"/>
              <w:spacing w:before="60" w:after="60"/>
              <w:ind w:left="144"/>
              <w:rPr>
                <w:rFonts w:ascii="Times New Roman" w:hAnsi="Times New Roman"/>
                <w:color w:val="auto"/>
                <w:sz w:val="18"/>
                <w:szCs w:val="18"/>
              </w:rPr>
            </w:pPr>
            <w:r>
              <w:rPr>
                <w:sz w:val="18"/>
                <w:szCs w:val="18"/>
              </w:rPr>
              <w:t>b.</w:t>
            </w:r>
          </w:p>
        </w:tc>
        <w:tc>
          <w:tcPr>
            <w:tcW w:w="5760" w:type="dxa"/>
          </w:tcPr>
          <w:p w:rsidR="008C64E9" w:rsidRPr="00343AD4" w:rsidRDefault="008C64E9" w:rsidP="00FF2634">
            <w:pPr>
              <w:pStyle w:val="TableText"/>
              <w:spacing w:before="60" w:after="60"/>
              <w:ind w:left="144"/>
              <w:rPr>
                <w:rFonts w:ascii="Times New Roman" w:hAnsi="Times New Roman"/>
                <w:sz w:val="18"/>
                <w:szCs w:val="18"/>
              </w:rPr>
            </w:pPr>
            <w:r w:rsidRPr="000710DC">
              <w:rPr>
                <w:rFonts w:ascii="Times New Roman" w:hAnsi="Times New Roman"/>
                <w:sz w:val="18"/>
                <w:szCs w:val="18"/>
              </w:rPr>
              <w:t>Modify NAESB standards as needed to apply the analysis of the above item</w:t>
            </w:r>
            <w:r>
              <w:rPr>
                <w:rFonts w:ascii="Times New Roman" w:hAnsi="Times New Roman"/>
                <w:sz w:val="18"/>
                <w:szCs w:val="18"/>
              </w:rPr>
              <w:t xml:space="preserve"> (10a)</w:t>
            </w:r>
            <w:r w:rsidRPr="00343AD4">
              <w:rPr>
                <w:rFonts w:ascii="Times New Roman" w:hAnsi="Times New Roman"/>
                <w:sz w:val="18"/>
                <w:szCs w:val="18"/>
              </w:rPr>
              <w:t xml:space="preserve"> </w:t>
            </w:r>
          </w:p>
          <w:p w:rsidR="008C64E9" w:rsidRDefault="008C64E9" w:rsidP="00E22AD6">
            <w:pPr>
              <w:pStyle w:val="TableText"/>
              <w:spacing w:before="60" w:after="60"/>
              <w:ind w:left="144"/>
              <w:rPr>
                <w:rFonts w:ascii="Times New Roman" w:hAnsi="Times New Roman"/>
                <w:color w:val="auto"/>
                <w:sz w:val="18"/>
                <w:szCs w:val="18"/>
              </w:rPr>
            </w:pPr>
            <w:r w:rsidRPr="00343AD4">
              <w:rPr>
                <w:rFonts w:ascii="Times New Roman" w:hAnsi="Times New Roman"/>
                <w:sz w:val="18"/>
                <w:szCs w:val="18"/>
              </w:rPr>
              <w:t>Status:  Not Started</w:t>
            </w:r>
          </w:p>
        </w:tc>
        <w:tc>
          <w:tcPr>
            <w:tcW w:w="1260" w:type="dxa"/>
          </w:tcPr>
          <w:p w:rsidR="008C64E9" w:rsidRDefault="008C64E9" w:rsidP="00B5210B">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10a.</w:t>
            </w:r>
          </w:p>
        </w:tc>
        <w:tc>
          <w:tcPr>
            <w:tcW w:w="1440" w:type="dxa"/>
          </w:tcPr>
          <w:p w:rsidR="008C64E9" w:rsidRDefault="008C64E9"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8C64E9" w:rsidRPr="00273022" w:rsidTr="001D3185">
        <w:tblPrEx>
          <w:tblCellMar>
            <w:left w:w="108" w:type="dxa"/>
            <w:right w:w="108" w:type="dxa"/>
          </w:tblCellMar>
        </w:tblPrEx>
        <w:tc>
          <w:tcPr>
            <w:tcW w:w="9360" w:type="dxa"/>
            <w:gridSpan w:val="5"/>
          </w:tcPr>
          <w:p w:rsidR="008C64E9" w:rsidRPr="00273022" w:rsidRDefault="008C64E9"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8C64E9" w:rsidRPr="00273022" w:rsidRDefault="008C64E9" w:rsidP="00C8099A">
      <w:pPr>
        <w:pStyle w:val="TableText"/>
        <w:spacing w:before="60" w:after="60"/>
        <w:ind w:left="144"/>
        <w:rPr>
          <w:rFonts w:ascii="Times New Roman" w:hAnsi="Times New Roman"/>
          <w:sz w:val="18"/>
          <w:szCs w:val="18"/>
        </w:rPr>
        <w:sectPr w:rsidR="008C64E9" w:rsidRPr="00273022" w:rsidSect="00160E66">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720" w:left="1440" w:header="720" w:footer="720" w:gutter="0"/>
          <w:cols w:space="720"/>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210"/>
        <w:gridCol w:w="1260"/>
        <w:gridCol w:w="1440"/>
      </w:tblGrid>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4"/>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160E66">
        <w:tc>
          <w:tcPr>
            <w:tcW w:w="450" w:type="dxa"/>
          </w:tcPr>
          <w:p w:rsidR="008C64E9" w:rsidRPr="00273022" w:rsidRDefault="008C64E9" w:rsidP="00AA6253">
            <w:pPr>
              <w:pStyle w:val="TableText"/>
              <w:spacing w:before="60" w:after="60"/>
              <w:ind w:left="144"/>
              <w:rPr>
                <w:rFonts w:ascii="Times New Roman" w:hAnsi="Times New Roman"/>
                <w:sz w:val="18"/>
                <w:szCs w:val="18"/>
              </w:rPr>
            </w:pPr>
          </w:p>
        </w:tc>
        <w:tc>
          <w:tcPr>
            <w:tcW w:w="621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260" w:type="dxa"/>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8C64E9" w:rsidRPr="00273022" w:rsidRDefault="008C64E9"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160E66">
        <w:tc>
          <w:tcPr>
            <w:tcW w:w="45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p>
        </w:tc>
        <w:tc>
          <w:tcPr>
            <w:tcW w:w="621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26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8C64E9" w:rsidRPr="00273022" w:rsidTr="009977D6">
        <w:trPr>
          <w:trHeight w:val="296"/>
        </w:trPr>
        <w:tc>
          <w:tcPr>
            <w:tcW w:w="9360" w:type="dxa"/>
            <w:gridSpan w:val="4"/>
            <w:tcBorders>
              <w:top w:val="single" w:sz="4" w:space="0" w:color="auto"/>
              <w:bottom w:val="single" w:sz="4" w:space="0" w:color="auto"/>
            </w:tcBorders>
          </w:tcPr>
          <w:p w:rsidR="008C64E9" w:rsidRPr="00273022" w:rsidRDefault="008C64E9"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t>Provisional Activities</w:t>
            </w:r>
          </w:p>
        </w:tc>
      </w:tr>
      <w:tr w:rsidR="008C64E9" w:rsidRPr="00CA3D24" w:rsidTr="009977D6">
        <w:trPr>
          <w:cantSplit/>
        </w:trPr>
        <w:tc>
          <w:tcPr>
            <w:tcW w:w="450" w:type="dxa"/>
            <w:tcBorders>
              <w:top w:val="single" w:sz="4" w:space="0" w:color="auto"/>
            </w:tcBorders>
          </w:tcPr>
          <w:p w:rsidR="008C64E9" w:rsidRPr="00273022" w:rsidRDefault="008C64E9"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8910" w:type="dxa"/>
            <w:gridSpan w:val="3"/>
            <w:tcBorders>
              <w:top w:val="single" w:sz="4" w:space="0" w:color="auto"/>
            </w:tcBorders>
          </w:tcPr>
          <w:p w:rsidR="008C64E9" w:rsidRPr="00CA3D24" w:rsidRDefault="008C64E9"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9"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8C64E9" w:rsidRPr="00CA3D24" w:rsidTr="009977D6">
        <w:trPr>
          <w:cantSplit/>
        </w:trPr>
        <w:tc>
          <w:tcPr>
            <w:tcW w:w="450" w:type="dxa"/>
          </w:tcPr>
          <w:p w:rsidR="008C64E9" w:rsidRPr="00CA3D24" w:rsidRDefault="008C64E9" w:rsidP="00CC43F5">
            <w:pPr>
              <w:pStyle w:val="TableText"/>
              <w:spacing w:before="60" w:after="60"/>
              <w:ind w:left="144"/>
              <w:rPr>
                <w:rFonts w:ascii="Times New Roman" w:hAnsi="Times New Roman"/>
                <w:sz w:val="18"/>
                <w:szCs w:val="18"/>
              </w:rPr>
            </w:pPr>
          </w:p>
        </w:tc>
        <w:tc>
          <w:tcPr>
            <w:tcW w:w="8910" w:type="dxa"/>
            <w:gridSpan w:val="3"/>
          </w:tcPr>
          <w:p w:rsidR="008C64E9" w:rsidRPr="00CA3D24" w:rsidRDefault="008C64E9" w:rsidP="00CC43F5">
            <w:pPr>
              <w:pStyle w:val="TableText"/>
              <w:tabs>
                <w:tab w:val="left" w:pos="6720"/>
              </w:tabs>
              <w:spacing w:before="60" w:after="60"/>
              <w:ind w:left="144"/>
              <w:rPr>
                <w:rFonts w:ascii="Times New Roman" w:hAnsi="Times New Roman"/>
                <w:sz w:val="18"/>
                <w:szCs w:val="18"/>
              </w:rPr>
            </w:pPr>
          </w:p>
        </w:tc>
      </w:tr>
    </w:tbl>
    <w:p w:rsidR="008C64E9" w:rsidRPr="00CA3D24" w:rsidRDefault="008C64E9" w:rsidP="005E4433">
      <w:pPr>
        <w:rPr>
          <w:sz w:val="18"/>
          <w:szCs w:val="18"/>
        </w:rPr>
      </w:pPr>
    </w:p>
    <w:p w:rsidR="008C64E9" w:rsidRPr="00CA3D24" w:rsidRDefault="008C64E9" w:rsidP="005E4433">
      <w:pPr>
        <w:rPr>
          <w:sz w:val="18"/>
          <w:szCs w:val="18"/>
        </w:rPr>
      </w:pPr>
      <w:r w:rsidRPr="00CA3D24">
        <w:rPr>
          <w:sz w:val="18"/>
          <w:szCs w:val="18"/>
        </w:rPr>
        <w:br w:type="page"/>
      </w:r>
      <w:r w:rsidR="007E73E2">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6E55EE" w:rsidRDefault="008C64E9"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Wholesale Gas Quadrant</w:t>
                              </w:r>
                            </w:p>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8C64E9" w:rsidRPr="006E55EE" w:rsidRDefault="008C64E9"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8C64E9" w:rsidRPr="006E55EE" w:rsidRDefault="008C64E9"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FC3FD7" w:rsidRDefault="008C64E9" w:rsidP="001E1723">
                              <w:pPr>
                                <w:autoSpaceDE w:val="0"/>
                                <w:autoSpaceDN w:val="0"/>
                                <w:adjustRightInd w:val="0"/>
                                <w:rPr>
                                  <w:b/>
                                  <w:bCs/>
                                  <w:color w:val="008080"/>
                                  <w:sz w:val="22"/>
                                  <w:szCs w:val="24"/>
                                </w:rPr>
                              </w:pPr>
                              <w:r w:rsidRPr="00FC3FD7">
                                <w:rPr>
                                  <w:b/>
                                  <w:bCs/>
                                  <w:color w:val="008080"/>
                                  <w:sz w:val="22"/>
                                  <w:szCs w:val="24"/>
                                </w:rPr>
                                <w:t>Technical</w:t>
                              </w:r>
                            </w:p>
                            <w:p w:rsidR="008C64E9" w:rsidRPr="00FC3FD7" w:rsidRDefault="008C64E9"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Practices</w:t>
                              </w:r>
                            </w:p>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Pr="006E55EE" w:rsidRDefault="008C64E9"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8C64E9" w:rsidRPr="006E55EE" w:rsidRDefault="008C64E9"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Wholesale Gas Quadrant</w:t>
                        </w:r>
                      </w:p>
                      <w:p w:rsidR="008C64E9" w:rsidRPr="006E55EE" w:rsidRDefault="008C64E9"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8C64E9" w:rsidRPr="006E55EE" w:rsidRDefault="008C64E9"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8C64E9" w:rsidRPr="006E55EE" w:rsidRDefault="008C64E9"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8C64E9" w:rsidRPr="00FC3FD7" w:rsidRDefault="008C64E9" w:rsidP="001E1723">
                        <w:pPr>
                          <w:autoSpaceDE w:val="0"/>
                          <w:autoSpaceDN w:val="0"/>
                          <w:adjustRightInd w:val="0"/>
                          <w:rPr>
                            <w:b/>
                            <w:bCs/>
                            <w:color w:val="008080"/>
                            <w:sz w:val="22"/>
                            <w:szCs w:val="24"/>
                          </w:rPr>
                        </w:pPr>
                        <w:r w:rsidRPr="00FC3FD7">
                          <w:rPr>
                            <w:b/>
                            <w:bCs/>
                            <w:color w:val="008080"/>
                            <w:sz w:val="22"/>
                            <w:szCs w:val="24"/>
                          </w:rPr>
                          <w:t>Technical</w:t>
                        </w:r>
                      </w:p>
                      <w:p w:rsidR="008C64E9" w:rsidRPr="00FC3FD7" w:rsidRDefault="008C64E9"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8C64E9" w:rsidRPr="006E55EE" w:rsidRDefault="008C64E9"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Practices</w:t>
                        </w:r>
                      </w:p>
                      <w:p w:rsidR="008C64E9" w:rsidRPr="00FC3FD7" w:rsidRDefault="008C64E9"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8C64E9" w:rsidRPr="006E55EE" w:rsidRDefault="008C64E9"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8C64E9" w:rsidRPr="006E55EE" w:rsidRDefault="008C64E9"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8C64E9" w:rsidRPr="00CA3D24" w:rsidRDefault="008C64E9"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8C64E9" w:rsidRPr="00CA3D24" w:rsidRDefault="008C64E9" w:rsidP="001E1723">
      <w:pPr>
        <w:pStyle w:val="BodyText"/>
        <w:ind w:left="720"/>
        <w:rPr>
          <w:sz w:val="18"/>
          <w:szCs w:val="18"/>
        </w:rPr>
      </w:pPr>
      <w:r w:rsidRPr="00CA3D24">
        <w:rPr>
          <w:sz w:val="18"/>
          <w:szCs w:val="18"/>
        </w:rPr>
        <w:t>Executive Committee:  Jim Buccigross, Chair and Dale Davis, Vice-Chair</w:t>
      </w:r>
    </w:p>
    <w:p w:rsidR="008C64E9" w:rsidRPr="00CA3D24" w:rsidRDefault="008C64E9">
      <w:pPr>
        <w:pStyle w:val="BodyText"/>
        <w:ind w:left="720"/>
        <w:rPr>
          <w:sz w:val="18"/>
          <w:szCs w:val="18"/>
        </w:rPr>
      </w:pPr>
      <w:r w:rsidRPr="00CA3D24">
        <w:rPr>
          <w:sz w:val="18"/>
          <w:szCs w:val="18"/>
        </w:rPr>
        <w:t>Business Practices Subcommittee:  Kim Van Pelt, Lori Lynn Pennock, and Richard Smith</w:t>
      </w:r>
    </w:p>
    <w:p w:rsidR="008C64E9" w:rsidRPr="00CA3D24" w:rsidRDefault="008C64E9" w:rsidP="001E1723">
      <w:pPr>
        <w:pStyle w:val="BodyText"/>
        <w:ind w:left="720"/>
        <w:rPr>
          <w:sz w:val="18"/>
          <w:szCs w:val="18"/>
        </w:rPr>
      </w:pPr>
      <w:r w:rsidRPr="00CA3D24">
        <w:rPr>
          <w:sz w:val="18"/>
          <w:szCs w:val="18"/>
        </w:rPr>
        <w:t>Information Requirements Subcommittee:  Dale Davis</w:t>
      </w:r>
    </w:p>
    <w:p w:rsidR="008C64E9" w:rsidRPr="00CA3D24" w:rsidRDefault="008C64E9"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8C64E9" w:rsidRPr="00CA3D24" w:rsidRDefault="008C64E9" w:rsidP="001E1723">
      <w:pPr>
        <w:pStyle w:val="BodyText"/>
        <w:ind w:left="720"/>
        <w:rPr>
          <w:sz w:val="18"/>
          <w:szCs w:val="18"/>
        </w:rPr>
      </w:pPr>
      <w:r w:rsidRPr="00CA3D24">
        <w:rPr>
          <w:sz w:val="18"/>
          <w:szCs w:val="18"/>
        </w:rPr>
        <w:t>Contracts Subcommittee:  Keith Sappenfield</w:t>
      </w:r>
    </w:p>
    <w:p w:rsidR="008C64E9" w:rsidRPr="00CA3D24" w:rsidRDefault="008C64E9" w:rsidP="001E1723">
      <w:pPr>
        <w:pStyle w:val="BodyText"/>
        <w:ind w:left="720"/>
        <w:rPr>
          <w:sz w:val="18"/>
          <w:szCs w:val="18"/>
        </w:rPr>
      </w:pPr>
      <w:r w:rsidRPr="00CA3D24">
        <w:rPr>
          <w:sz w:val="18"/>
          <w:szCs w:val="18"/>
        </w:rPr>
        <w:t>Electronic Delivery Mechanism Subcommittee:  Leigh Spangler</w:t>
      </w:r>
    </w:p>
    <w:p w:rsidR="008C64E9" w:rsidRDefault="008C64E9" w:rsidP="001E1723">
      <w:pPr>
        <w:pStyle w:val="BodyText"/>
        <w:ind w:left="720"/>
        <w:rPr>
          <w:sz w:val="18"/>
          <w:szCs w:val="18"/>
        </w:rPr>
      </w:pPr>
      <w:r w:rsidRPr="00CA3D24">
        <w:rPr>
          <w:sz w:val="18"/>
          <w:szCs w:val="18"/>
        </w:rPr>
        <w:t>Interpretations Sub</w:t>
      </w:r>
      <w:r w:rsidRPr="00CF0181">
        <w:rPr>
          <w:sz w:val="18"/>
          <w:szCs w:val="18"/>
        </w:rPr>
        <w:t>committee:  Paul Love</w:t>
      </w:r>
    </w:p>
    <w:p w:rsidR="008C64E9" w:rsidRPr="00CF0181" w:rsidRDefault="008C64E9" w:rsidP="001E1723">
      <w:pPr>
        <w:pStyle w:val="BodyText"/>
        <w:ind w:left="720"/>
        <w:rPr>
          <w:sz w:val="18"/>
          <w:szCs w:val="18"/>
        </w:rPr>
      </w:pPr>
      <w:r>
        <w:rPr>
          <w:sz w:val="18"/>
          <w:szCs w:val="18"/>
        </w:rPr>
        <w:br w:type="page"/>
      </w:r>
    </w:p>
    <w:sectPr w:rsidR="008C64E9"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68" w:rsidRDefault="007B0A68">
      <w:r>
        <w:separator/>
      </w:r>
    </w:p>
  </w:endnote>
  <w:endnote w:type="continuationSeparator" w:id="0">
    <w:p w:rsidR="007B0A68" w:rsidRDefault="007B0A68">
      <w:r>
        <w:continuationSeparator/>
      </w:r>
    </w:p>
  </w:endnote>
  <w:endnote w:id="1">
    <w:p w:rsidR="008C64E9" w:rsidRDefault="008C64E9" w:rsidP="005E4433">
      <w:pPr>
        <w:pStyle w:val="EndnoteText"/>
        <w:rPr>
          <w:b/>
          <w:szCs w:val="18"/>
        </w:rPr>
      </w:pPr>
      <w:r>
        <w:rPr>
          <w:b/>
          <w:szCs w:val="18"/>
        </w:rPr>
        <w:t>End Notes, WGQ 2011 Annual Plan:</w:t>
      </w:r>
    </w:p>
    <w:p w:rsidR="008C64E9" w:rsidRDefault="008C64E9"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8C64E9" w:rsidRDefault="008C64E9"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8C64E9" w:rsidRDefault="008C64E9">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8C64E9" w:rsidRDefault="008C64E9"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E2" w:rsidRDefault="007E7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Pr="00060E96" w:rsidRDefault="008C64E9" w:rsidP="00160E6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w:t>
    </w:r>
    <w:r>
      <w:rPr>
        <w:sz w:val="18"/>
        <w:szCs w:val="18"/>
      </w:rPr>
      <w:t>AP</w:t>
    </w:r>
    <w:r w:rsidRPr="00235836">
      <w:rPr>
        <w:sz w:val="18"/>
        <w:szCs w:val="18"/>
      </w:rPr>
      <w:t xml:space="preserve"> </w:t>
    </w:r>
    <w:r>
      <w:rPr>
        <w:sz w:val="18"/>
        <w:szCs w:val="18"/>
      </w:rPr>
      <w:t xml:space="preserve">approved by the Board of </w:t>
    </w:r>
    <w:r w:rsidRPr="00273022">
      <w:rPr>
        <w:sz w:val="18"/>
        <w:szCs w:val="18"/>
      </w:rPr>
      <w:t xml:space="preserve">Directors on </w:t>
    </w:r>
    <w:r w:rsidR="007E73E2">
      <w:rPr>
        <w:sz w:val="18"/>
        <w:szCs w:val="18"/>
      </w:rPr>
      <w:t>12-8-11</w:t>
    </w:r>
  </w:p>
  <w:p w:rsidR="008C64E9" w:rsidRDefault="008C64E9" w:rsidP="00482EA2">
    <w:pPr>
      <w:pStyle w:val="Footer"/>
      <w:pBdr>
        <w:top w:val="single" w:sz="4" w:space="1" w:color="auto"/>
      </w:pBdr>
      <w:jc w:val="right"/>
    </w:pPr>
    <w:bookmarkStart w:id="0" w:name="_GoBack"/>
    <w:bookmarkEnd w:id="0"/>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7E73E2">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7E73E2">
      <w:rPr>
        <w:noProof/>
        <w:sz w:val="18"/>
        <w:szCs w:val="18"/>
      </w:rPr>
      <w:t>5</w:t>
    </w:r>
    <w:r w:rsidRPr="0023583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Pr="00060E96" w:rsidRDefault="008C64E9"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w:t>
    </w:r>
    <w:r w:rsidRPr="00273022">
      <w:rPr>
        <w:sz w:val="18"/>
        <w:szCs w:val="18"/>
      </w:rPr>
      <w:t xml:space="preserve">Directors on </w:t>
    </w:r>
    <w:r>
      <w:rPr>
        <w:sz w:val="18"/>
        <w:szCs w:val="18"/>
      </w:rPr>
      <w:t>10-4-11with Redlined Changes from the WGQ EC</w:t>
    </w:r>
  </w:p>
  <w:p w:rsidR="008C64E9" w:rsidRPr="00235836" w:rsidRDefault="008C64E9"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Pr>
        <w:noProof/>
        <w:sz w:val="18"/>
        <w:szCs w:val="18"/>
      </w:rPr>
      <w:t>5</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68" w:rsidRDefault="007B0A68">
      <w:r>
        <w:separator/>
      </w:r>
    </w:p>
  </w:footnote>
  <w:footnote w:type="continuationSeparator" w:id="0">
    <w:p w:rsidR="007B0A68" w:rsidRDefault="007B0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3E2" w:rsidRDefault="007E7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Default="007E73E2"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Default="008C64E9"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8C64E9" w:rsidRDefault="008C64E9"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8C64E9" w:rsidRPr="005E4433" w:rsidRDefault="008C64E9"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8C64E9" w:rsidRPr="005E4433" w:rsidRDefault="008C64E9"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C64E9" w:rsidRPr="005E4433" w:rsidRDefault="008C64E9"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C64E9" w:rsidRPr="005E4433" w:rsidRDefault="008C64E9"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8C64E9" w:rsidRDefault="008C64E9"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E9" w:rsidRPr="005E4433" w:rsidRDefault="007E73E2"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4E9" w:rsidRDefault="008C64E9"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8C64E9" w:rsidRDefault="008C64E9"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8C64E9" w:rsidRPr="005E4433">
      <w:rPr>
        <w:b/>
        <w:spacing w:val="20"/>
        <w:sz w:val="32"/>
        <w:szCs w:val="32"/>
      </w:rPr>
      <w:t>North American Energy Standards Board</w:t>
    </w:r>
  </w:p>
  <w:p w:rsidR="008C64E9" w:rsidRPr="005E4433" w:rsidRDefault="008C64E9"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8C64E9" w:rsidRPr="005E4433" w:rsidRDefault="008C64E9"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8C64E9" w:rsidRPr="005E4433" w:rsidRDefault="008C64E9"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8C64E9" w:rsidRDefault="008C64E9"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CA4"/>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10DC"/>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27B48"/>
    <w:rsid w:val="00130AF4"/>
    <w:rsid w:val="00130C06"/>
    <w:rsid w:val="001311E4"/>
    <w:rsid w:val="0013327B"/>
    <w:rsid w:val="00136810"/>
    <w:rsid w:val="001369E3"/>
    <w:rsid w:val="00137F20"/>
    <w:rsid w:val="00140CAF"/>
    <w:rsid w:val="00141EB5"/>
    <w:rsid w:val="00143CEA"/>
    <w:rsid w:val="00143FED"/>
    <w:rsid w:val="00145CD2"/>
    <w:rsid w:val="00147069"/>
    <w:rsid w:val="00150675"/>
    <w:rsid w:val="00151944"/>
    <w:rsid w:val="00156BA5"/>
    <w:rsid w:val="00156EA3"/>
    <w:rsid w:val="0016035F"/>
    <w:rsid w:val="00160E66"/>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3185"/>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07DF"/>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00FA"/>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3AD4"/>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4BE0"/>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17B5"/>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47D2D"/>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D6B4A"/>
    <w:rsid w:val="005E0992"/>
    <w:rsid w:val="005E16B3"/>
    <w:rsid w:val="005E1C24"/>
    <w:rsid w:val="005E248B"/>
    <w:rsid w:val="005E250D"/>
    <w:rsid w:val="005E282B"/>
    <w:rsid w:val="005E4433"/>
    <w:rsid w:val="005E7DE1"/>
    <w:rsid w:val="005F09C7"/>
    <w:rsid w:val="005F1310"/>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96B47"/>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0A68"/>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E73E2"/>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0C33"/>
    <w:rsid w:val="0087164B"/>
    <w:rsid w:val="00876174"/>
    <w:rsid w:val="00876630"/>
    <w:rsid w:val="00877192"/>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B7822"/>
    <w:rsid w:val="008C1681"/>
    <w:rsid w:val="008C2B79"/>
    <w:rsid w:val="008C3ADE"/>
    <w:rsid w:val="008C40F8"/>
    <w:rsid w:val="008C4129"/>
    <w:rsid w:val="008C64E9"/>
    <w:rsid w:val="008D4075"/>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84F"/>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47DA8"/>
    <w:rsid w:val="00A510F1"/>
    <w:rsid w:val="00A536D3"/>
    <w:rsid w:val="00A54CA6"/>
    <w:rsid w:val="00A55D84"/>
    <w:rsid w:val="00A55E5C"/>
    <w:rsid w:val="00A602F4"/>
    <w:rsid w:val="00A60D74"/>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11E"/>
    <w:rsid w:val="00CD67F2"/>
    <w:rsid w:val="00CE02F4"/>
    <w:rsid w:val="00CE13FF"/>
    <w:rsid w:val="00CE1DD1"/>
    <w:rsid w:val="00CE3224"/>
    <w:rsid w:val="00CE3B25"/>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2AD6"/>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1D4C"/>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B7B63"/>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634"/>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4711">
      <w:marLeft w:val="0"/>
      <w:marRight w:val="0"/>
      <w:marTop w:val="0"/>
      <w:marBottom w:val="0"/>
      <w:divBdr>
        <w:top w:val="none" w:sz="0" w:space="0" w:color="auto"/>
        <w:left w:val="none" w:sz="0" w:space="0" w:color="auto"/>
        <w:bottom w:val="none" w:sz="0" w:space="0" w:color="auto"/>
        <w:right w:val="none" w:sz="0" w:space="0" w:color="auto"/>
      </w:divBdr>
    </w:div>
    <w:div w:id="1674724712">
      <w:marLeft w:val="0"/>
      <w:marRight w:val="0"/>
      <w:marTop w:val="0"/>
      <w:marBottom w:val="0"/>
      <w:divBdr>
        <w:top w:val="none" w:sz="0" w:space="0" w:color="auto"/>
        <w:left w:val="none" w:sz="0" w:space="0" w:color="auto"/>
        <w:bottom w:val="none" w:sz="0" w:space="0" w:color="auto"/>
        <w:right w:val="none" w:sz="0" w:space="0" w:color="auto"/>
      </w:divBdr>
      <w:divsChild>
        <w:div w:id="1674724718">
          <w:marLeft w:val="0"/>
          <w:marRight w:val="0"/>
          <w:marTop w:val="0"/>
          <w:marBottom w:val="0"/>
          <w:divBdr>
            <w:top w:val="none" w:sz="0" w:space="0" w:color="auto"/>
            <w:left w:val="none" w:sz="0" w:space="0" w:color="auto"/>
            <w:bottom w:val="none" w:sz="0" w:space="0" w:color="auto"/>
            <w:right w:val="none" w:sz="0" w:space="0" w:color="auto"/>
          </w:divBdr>
        </w:div>
      </w:divsChild>
    </w:div>
    <w:div w:id="1674724713">
      <w:marLeft w:val="0"/>
      <w:marRight w:val="0"/>
      <w:marTop w:val="0"/>
      <w:marBottom w:val="0"/>
      <w:divBdr>
        <w:top w:val="none" w:sz="0" w:space="0" w:color="auto"/>
        <w:left w:val="none" w:sz="0" w:space="0" w:color="auto"/>
        <w:bottom w:val="none" w:sz="0" w:space="0" w:color="auto"/>
        <w:right w:val="none" w:sz="0" w:space="0" w:color="auto"/>
      </w:divBdr>
      <w:divsChild>
        <w:div w:id="1674724715">
          <w:marLeft w:val="720"/>
          <w:marRight w:val="0"/>
          <w:marTop w:val="100"/>
          <w:marBottom w:val="100"/>
          <w:divBdr>
            <w:top w:val="none" w:sz="0" w:space="0" w:color="auto"/>
            <w:left w:val="none" w:sz="0" w:space="0" w:color="auto"/>
            <w:bottom w:val="none" w:sz="0" w:space="0" w:color="auto"/>
            <w:right w:val="none" w:sz="0" w:space="0" w:color="auto"/>
          </w:divBdr>
          <w:divsChild>
            <w:div w:id="1674724721">
              <w:marLeft w:val="0"/>
              <w:marRight w:val="0"/>
              <w:marTop w:val="0"/>
              <w:marBottom w:val="0"/>
              <w:divBdr>
                <w:top w:val="none" w:sz="0" w:space="0" w:color="auto"/>
                <w:left w:val="none" w:sz="0" w:space="0" w:color="auto"/>
                <w:bottom w:val="none" w:sz="0" w:space="0" w:color="auto"/>
                <w:right w:val="none" w:sz="0" w:space="0" w:color="auto"/>
              </w:divBdr>
              <w:divsChild>
                <w:div w:id="1674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4719">
      <w:marLeft w:val="0"/>
      <w:marRight w:val="0"/>
      <w:marTop w:val="0"/>
      <w:marBottom w:val="0"/>
      <w:divBdr>
        <w:top w:val="none" w:sz="0" w:space="0" w:color="auto"/>
        <w:left w:val="none" w:sz="0" w:space="0" w:color="auto"/>
        <w:bottom w:val="none" w:sz="0" w:space="0" w:color="auto"/>
        <w:right w:val="none" w:sz="0" w:space="0" w:color="auto"/>
      </w:divBdr>
      <w:divsChild>
        <w:div w:id="1674724717">
          <w:marLeft w:val="720"/>
          <w:marRight w:val="0"/>
          <w:marTop w:val="100"/>
          <w:marBottom w:val="100"/>
          <w:divBdr>
            <w:top w:val="none" w:sz="0" w:space="0" w:color="auto"/>
            <w:left w:val="none" w:sz="0" w:space="0" w:color="auto"/>
            <w:bottom w:val="none" w:sz="0" w:space="0" w:color="auto"/>
            <w:right w:val="none" w:sz="0" w:space="0" w:color="auto"/>
          </w:divBdr>
          <w:divsChild>
            <w:div w:id="1674724716">
              <w:marLeft w:val="0"/>
              <w:marRight w:val="0"/>
              <w:marTop w:val="0"/>
              <w:marBottom w:val="0"/>
              <w:divBdr>
                <w:top w:val="none" w:sz="0" w:space="0" w:color="auto"/>
                <w:left w:val="none" w:sz="0" w:space="0" w:color="auto"/>
                <w:bottom w:val="none" w:sz="0" w:space="0" w:color="auto"/>
                <w:right w:val="none" w:sz="0" w:space="0" w:color="auto"/>
              </w:divBdr>
              <w:divsChild>
                <w:div w:id="167472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b.cert.org/vuls/id/86464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gq_aplan102010w1.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esb.org/pdf4/wgq_aplan102010w4.doc" TargetMode="External"/><Relationship Id="rId19" Type="http://schemas.openxmlformats.org/officeDocument/2006/relationships/hyperlink" Target="http://www.naesb.org/pdf4/ferc102110.doc" TargetMode="External"/><Relationship Id="rId4" Type="http://schemas.openxmlformats.org/officeDocument/2006/relationships/settings" Target="settings.xml"/><Relationship Id="rId9" Type="http://schemas.openxmlformats.org/officeDocument/2006/relationships/hyperlink" Target="http://www.naesb.org/pdf4/wgq_aplan102010w3.do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2011-12-16T17:09:00Z</dcterms:created>
  <dcterms:modified xsi:type="dcterms:W3CDTF">2011-12-16T17:09:00Z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