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37" w:rsidRPr="00265AA2" w:rsidRDefault="00D47D37" w:rsidP="00D47D37">
      <w:pPr>
        <w:spacing w:before="480" w:after="120"/>
      </w:pPr>
      <w:r w:rsidRPr="00265AA2">
        <w:rPr>
          <w:b/>
        </w:rPr>
        <w:t>Michelle Foss</w:t>
      </w:r>
      <w:r w:rsidRPr="00265AA2">
        <w:rPr>
          <w:b/>
        </w:rPr>
        <w:br/>
      </w:r>
      <w:r w:rsidRPr="00265AA2">
        <w:t xml:space="preserve">Dr. Michelle </w:t>
      </w:r>
      <w:proofErr w:type="spellStart"/>
      <w:r w:rsidRPr="00265AA2">
        <w:t>Michot</w:t>
      </w:r>
      <w:proofErr w:type="spellEnd"/>
      <w:r w:rsidRPr="00265AA2">
        <w:t xml:space="preserve"> Foss, </w:t>
      </w:r>
      <w:r w:rsidR="00265AA2" w:rsidRPr="00265AA2">
        <w:t>C</w:t>
      </w:r>
      <w:r w:rsidRPr="00265AA2">
        <w:t xml:space="preserve">hief </w:t>
      </w:r>
      <w:r w:rsidR="00265AA2" w:rsidRPr="00265AA2">
        <w:t>E</w:t>
      </w:r>
      <w:r w:rsidRPr="00265AA2">
        <w:t xml:space="preserve">nergy </w:t>
      </w:r>
      <w:r w:rsidR="00265AA2" w:rsidRPr="00265AA2">
        <w:t>E</w:t>
      </w:r>
      <w:r w:rsidRPr="00265AA2">
        <w:t xml:space="preserve">conomist and </w:t>
      </w:r>
      <w:r w:rsidR="00265AA2" w:rsidRPr="00265AA2">
        <w:t>H</w:t>
      </w:r>
      <w:r w:rsidRPr="00265AA2">
        <w:t xml:space="preserve">ead, </w:t>
      </w:r>
      <w:r w:rsidR="00265AA2" w:rsidRPr="00265AA2">
        <w:t>Center for Energy E</w:t>
      </w:r>
      <w:r w:rsidRPr="00265AA2">
        <w:t xml:space="preserve">conomics, </w:t>
      </w:r>
      <w:r w:rsidR="00265AA2" w:rsidRPr="00265AA2">
        <w:t>B</w:t>
      </w:r>
      <w:r w:rsidRPr="00265AA2">
        <w:t xml:space="preserve">ureau of </w:t>
      </w:r>
      <w:r w:rsidR="00265AA2" w:rsidRPr="00265AA2">
        <w:t>E</w:t>
      </w:r>
      <w:r w:rsidRPr="00265AA2">
        <w:t xml:space="preserve">conomic </w:t>
      </w:r>
      <w:r w:rsidR="00265AA2" w:rsidRPr="00265AA2">
        <w:t>G</w:t>
      </w:r>
      <w:r w:rsidRPr="00265AA2">
        <w:t xml:space="preserve">eology, the </w:t>
      </w:r>
      <w:r w:rsidR="00265AA2" w:rsidRPr="00265AA2">
        <w:t>U</w:t>
      </w:r>
      <w:r w:rsidRPr="00265AA2">
        <w:t xml:space="preserve">niversity of </w:t>
      </w:r>
      <w:r w:rsidR="00265AA2" w:rsidRPr="00265AA2">
        <w:t>T</w:t>
      </w:r>
      <w:r w:rsidRPr="00265AA2">
        <w:t xml:space="preserve">exas at </w:t>
      </w:r>
      <w:r w:rsidR="00265AA2" w:rsidRPr="00265AA2">
        <w:t>A</w:t>
      </w:r>
      <w:r w:rsidRPr="00265AA2">
        <w:t xml:space="preserve">ustin, directs and conducts research, specializing in the energy value chains and associated investment frameworks; advises U.S. and international energy companies; publishes and speaks widely on energy issues; and provides public commentary and testimony to governments.  Prior to UT, Dr. </w:t>
      </w:r>
      <w:proofErr w:type="spellStart"/>
      <w:r w:rsidRPr="00265AA2">
        <w:t>Michot</w:t>
      </w:r>
      <w:proofErr w:type="spellEnd"/>
      <w:r w:rsidRPr="00265AA2">
        <w:t xml:space="preserve"> Foss led CEE’s precursor program at University of Houston from FY 91-FY 05 and worked in energy investment banking (Simmons &amp; Company International), Rice Center and other research/consulting organizations.  Areas of emphasis include global upstream liquids, natural gas and LNG value chains and supporting investment frameworks and business models; national oil companies (NOCs); electric power and gas-power linkages; energy scenarios, outlooks and commodity markets.  At CEE/BEG she created and directs: Critical Role for Natural Gas in the U.S. Energy Mix and Commercial Frameworks for LNG in North America; Commercial Frameworks for National Oil Companies, including World Bank collaboration; CEE’s international development assistance initiatives including USAID and State Department funded projects in various countries and regions; and international capacity building mainly through CEE’s own training platform and partnerships with UT McCombs School of Business.  Dr. </w:t>
      </w:r>
      <w:proofErr w:type="spellStart"/>
      <w:r w:rsidRPr="00265AA2">
        <w:t>Michot</w:t>
      </w:r>
      <w:proofErr w:type="spellEnd"/>
      <w:r w:rsidRPr="00265AA2">
        <w:t xml:space="preserve"> Foss and the CEE team were selected as experts for U.S. EIA’s Energy and Financial Markets Initiative and for a new DOE review of oil and natural gas sector developments and issues in Iraq.  She has been named to the technical advisory council, Natural Resource Charter; serves on the National Academy of Sciences Committee on Earth Resources and National Petroleum Council’s North American Natural Gas and Oil Resources Demand Study Group and served on the advisory board for the Moratoria Study Group hosted by the National Association of Regulatory Utility Commissioners.  In 2006, Dr. </w:t>
      </w:r>
      <w:proofErr w:type="spellStart"/>
      <w:r w:rsidRPr="00265AA2">
        <w:t>Michot</w:t>
      </w:r>
      <w:proofErr w:type="spellEnd"/>
      <w:r w:rsidRPr="00265AA2">
        <w:t xml:space="preserve"> Foss was chosen a Senior Fellow by the US Association for Energy Economics for her contribution to the profession and association.  She was selected one of the Key Women in Energy-Americas (2003).  She was the 2003 president of the International Association for Energy Economics (IAEE) and 2001 president of the USAEE.  She is a member of the Council on Foreign Relations; past board member and current education advisory board member of the Association of International Petroleum Negotiators (AIPN); was recognized by the Scientific Council, 50th Anniversary of ENI Commemorative Encyclopedia of Hydrocarbons; serves on the advisory boards of the Consumer Energy Alliance, the Institute for Energy in the 21st Century (U.S. Chamber of Commerce) and the Women’s Global Leadership Conference in Energy &amp; Technology and on the editorial boards of the AIPN/Oxford Press Journal of World Energy Law &amp; Business and the International Journal of Regulation and Governance.  She holds degrees from University of Louisiana-Lafayette, Colorado School of Mines, and University of Houston.  CEE-UT is a non-contributory member of the Society of International Gas Tanker and Terminal Operators (SIGTTO), </w:t>
      </w:r>
      <w:proofErr w:type="spellStart"/>
      <w:r w:rsidRPr="00265AA2">
        <w:t>GridWise</w:t>
      </w:r>
      <w:proofErr w:type="spellEnd"/>
      <w:r w:rsidRPr="00265AA2">
        <w:t xml:space="preserve"> Alliance, and WTO Energy Services Coalition.  CEE-UT was named a finalist in the World Oil Awards competition for best outreach program in both 2006 and 2007.</w:t>
      </w:r>
    </w:p>
    <w:p w:rsidR="00D47D37" w:rsidRPr="00265AA2" w:rsidRDefault="00D47D37" w:rsidP="00265AA2">
      <w:pPr>
        <w:spacing w:before="480" w:after="120"/>
      </w:pPr>
      <w:r w:rsidRPr="00265AA2">
        <w:rPr>
          <w:b/>
        </w:rPr>
        <w:t>Sheila Slocum Hollis</w:t>
      </w:r>
      <w:r w:rsidRPr="00265AA2">
        <w:t xml:space="preserve"> </w:t>
      </w:r>
      <w:r w:rsidRPr="00265AA2">
        <w:br/>
        <w:t>Ms. Sheila Hollis is chair of the Washington, D.C. office of Duane Morris LLP, serving on the firm’s Executive Committee and Partners’ Board.  She was the founding managing partner of the firm’s Washington office and its Energy, Environment and Resources Practice.  Ms. Hollis specializes in domestic and international energy and environmental matters, representing governmental bodies and the energy industry.  She is recognized by Chambers Guide</w:t>
      </w:r>
      <w:bookmarkStart w:id="0" w:name="Verdatum"/>
      <w:bookmarkEnd w:id="0"/>
      <w:r w:rsidRPr="00265AA2">
        <w:t xml:space="preserve"> (2008-present) and is AV® Preeminent™ 5.0 out of 5 rated by Martindale-Hubbell.  Ms. Hollis was the first Director of the Office of Enforcement of the Federal Energy Regulatory Commission, establishing the office and its policies and procedures, serving from 1977 to 1980 and was a trial lawyer at the Federal Power Commission from 1974-1975.  Recognized by the National Law Journal as one of the nation’s top energy lawyers, and by various organizations for her expertise in oil, gas, and electric law issues, Ms. Hollis was the first woman to serve as President of the Energy Bar, and was Chair of the American Bar Association’s Section of Environment, Energy and Resources.  She now serves as the Section’s representative in the ABA House of Delegates and as its representative to the Nominating Committee of the ABA.  In December 2010, Sheila received the Energy Bar Association and the Charitable Foundation of the Energy Bar’s Paul Nordstrom Award for her service to the legal profession and the community.  She also chaired the ABA’s Fund for Justice </w:t>
      </w:r>
      <w:r w:rsidRPr="00265AA2">
        <w:lastRenderedPageBreak/>
        <w:t xml:space="preserve">and Education, the Standing Committee on Environmental Law, the Coordinating Group on Energy Law and recently served a three-year term on the ABA’s Standing Committee on the Federal Judiciary.  She served as president of the Women’s Council on Energy and the Environment from 1997-2002 and received its Woman of the Year award in 2003.  Sheila Chaired the Board of Editors of the ABA Journal, and now </w:t>
      </w:r>
      <w:proofErr w:type="gramStart"/>
      <w:r w:rsidRPr="00265AA2">
        <w:t>chairs  the</w:t>
      </w:r>
      <w:proofErr w:type="gramEnd"/>
      <w:r w:rsidRPr="00265AA2">
        <w:t xml:space="preserve"> Standing Committee on Gavel Awards.  A co-author of two energy law and policy books, Ms. Hollis served as a professorial lecturer in the law on the subject of energy law at the George Washington University Law School from 1979-1999.  She serves on the Board and is Treasurer of the United States Energy Association and the American Friends of the Royal Society.  A Colorado native, she is a graduate of the University of Colorado (cum laude in overall studies and with honors in Journalism), and the University of Denver College of Law.</w:t>
      </w:r>
    </w:p>
    <w:p w:rsidR="00D47D37" w:rsidRPr="00265AA2" w:rsidRDefault="00D47D37" w:rsidP="00265AA2">
      <w:pPr>
        <w:spacing w:before="480" w:after="120"/>
        <w:rPr>
          <w:b/>
        </w:rPr>
      </w:pPr>
      <w:r w:rsidRPr="00265AA2">
        <w:rPr>
          <w:b/>
        </w:rPr>
        <w:t>Annabelle Lee</w:t>
      </w:r>
      <w:r w:rsidRPr="00265AA2">
        <w:rPr>
          <w:b/>
        </w:rPr>
        <w:br/>
      </w:r>
      <w:r w:rsidR="00265AA2" w:rsidRPr="00265AA2">
        <w:t>Annabelle Lee is a Technical Executive in the Power Delivery and Utilization Sector of the Electric Power Research Institute (EPRI). She provides cyber security support to many of the projects within EPRI. Annabelle’s experience comprises over 35 years of technical experience in IT system design and implementation and over 20 years of cyber security specification development and testing. Over her career she has authored or co-authored many documents on cyber security, cryptography, and testing. She began her career in private industry concentrating on IT systems specification, software testing and quality assurance.  From 1996 to 2010, Annabelle was a Senior Cyber Security Strategist at the National Institute of Standards and Technology (NIST). She led the Smart Grid Cyber Security Working Group (CSWG) at NIST which published the NIST Interagency Report (NISTIR) 7628, Guidelines for Smart Grid Cyber Security in September 2010. Annabelle was detailed to the Department of Homeland Security (DHS) and was the Director of the Standards, Best Practices, and R&amp;D Requirements Program and the Supply Chain Risk Management Program. Previously, Annabelle was the Director of the NIST Cryptographic Module Validation Program. From 1984 to 1996, Annabelle was a Lead Engineer at the MITRE Corporation.  She provided support to the FBI Criminal Justice Information Services Division and was the task leader for the information security program.</w:t>
      </w:r>
    </w:p>
    <w:p w:rsidR="00D47D37" w:rsidRDefault="00D47D37" w:rsidP="00D47D37">
      <w:pPr>
        <w:spacing w:before="480" w:after="120"/>
      </w:pPr>
      <w:r w:rsidRPr="00265AA2">
        <w:rPr>
          <w:b/>
        </w:rPr>
        <w:t>Kathleen Magruder</w:t>
      </w:r>
      <w:r w:rsidRPr="00265AA2">
        <w:rPr>
          <w:b/>
        </w:rPr>
        <w:br/>
      </w:r>
      <w:r w:rsidR="00CD07CD" w:rsidRPr="00CD07CD">
        <w:t xml:space="preserve">Kathleen Magruder is an energy attorney whose experience extends "from the wellhead to the </w:t>
      </w:r>
      <w:proofErr w:type="spellStart"/>
      <w:r w:rsidR="00CD07CD" w:rsidRPr="00CD07CD">
        <w:t>burnertip</w:t>
      </w:r>
      <w:proofErr w:type="spellEnd"/>
      <w:r w:rsidR="00CD07CD" w:rsidRPr="00CD07CD">
        <w:t xml:space="preserve">" on the gas side and "from the power plant to the wall socket" on the electric side.  She has represented producers of oil and gas, operators of power plants, developers of electric transmission projects, retail electric providers, and consumers in a number of states and before the FERC.  She was elected by her peers to serve on the Board of Directors of ERCOT and was the first recipient of the </w:t>
      </w:r>
      <w:proofErr w:type="spellStart"/>
      <w:r w:rsidR="00CD07CD" w:rsidRPr="00CD07CD">
        <w:t>Braveheart</w:t>
      </w:r>
      <w:proofErr w:type="spellEnd"/>
      <w:r w:rsidR="00CD07CD" w:rsidRPr="00CD07CD">
        <w:t xml:space="preserve"> Award given by the Center for the Advancement of Energy Markets in recognition of her years on the front lines in the fight to open energy markets.</w:t>
      </w:r>
    </w:p>
    <w:p w:rsidR="00CD07CD" w:rsidRPr="00265AA2" w:rsidRDefault="00CD07CD" w:rsidP="00CD07CD">
      <w:pPr>
        <w:spacing w:before="480" w:after="120"/>
      </w:pPr>
      <w:r w:rsidRPr="00265AA2">
        <w:rPr>
          <w:b/>
        </w:rPr>
        <w:t>Joelle Ogg</w:t>
      </w:r>
      <w:r w:rsidRPr="00265AA2">
        <w:rPr>
          <w:b/>
        </w:rPr>
        <w:br/>
      </w:r>
      <w:r w:rsidRPr="00265AA2">
        <w:t xml:space="preserve">Joelle Ogg is General Counsel of DC Energy, an energy trading company.  At DC Energy, Joelle provides counsel on regulatory, commercial, contractual and compliance issues related to the gas and power markets.  Prior to joining DC Energy, Joelle focused on energy regulatory and transactional issues as a partner with the law firm </w:t>
      </w:r>
      <w:proofErr w:type="spellStart"/>
      <w:r w:rsidRPr="00265AA2">
        <w:t>Brunenkant</w:t>
      </w:r>
      <w:proofErr w:type="spellEnd"/>
      <w:r w:rsidRPr="00265AA2">
        <w:t xml:space="preserve"> Law Firm (previously </w:t>
      </w:r>
      <w:proofErr w:type="spellStart"/>
      <w:r w:rsidRPr="00265AA2">
        <w:t>Brunenkant</w:t>
      </w:r>
      <w:proofErr w:type="spellEnd"/>
      <w:r w:rsidRPr="00265AA2">
        <w:t xml:space="preserve"> &amp; Cross), and as an associate with the law firms Williams Mullen and John &amp; </w:t>
      </w:r>
      <w:proofErr w:type="spellStart"/>
      <w:r w:rsidRPr="00265AA2">
        <w:t>Hengerer</w:t>
      </w:r>
      <w:proofErr w:type="spellEnd"/>
      <w:r w:rsidRPr="00265AA2">
        <w:t xml:space="preserve"> (previously John, </w:t>
      </w:r>
      <w:proofErr w:type="spellStart"/>
      <w:r w:rsidRPr="00265AA2">
        <w:t>Hengerer</w:t>
      </w:r>
      <w:proofErr w:type="spellEnd"/>
      <w:r w:rsidRPr="00265AA2">
        <w:t xml:space="preserve"> &amp; Esposito).  Joelle has assisted energy traders, gas suppliers, power marketers, municipal utilities, independent power producers, transmission developers, gas pipelines and energy trade associations by structuring, negotiating and reviewing commercial transactions and providing regulatory and compliance assistance on Federal Energy Regulatory Commission, Commodity Futures Trading Commission, State public utility commission, and Department of Energy matters. In addition, Joelle has served as special counsel for NAESB and facilitated the Coalition for Uniform Business Rules’ efforts to develop uniform business rules and standard electronic transactions for the retail electric and gas markets.  Joelle earned a J.D. with Honors from George Washington University Law School and a B.A., Cum Laude, Honors in Political Science from Wellesley College.</w:t>
      </w:r>
    </w:p>
    <w:p w:rsidR="00D47D37" w:rsidRDefault="00D47D37" w:rsidP="00CD07CD">
      <w:pPr>
        <w:keepLines/>
        <w:spacing w:before="480" w:after="120"/>
      </w:pPr>
      <w:r w:rsidRPr="00265AA2">
        <w:rPr>
          <w:b/>
        </w:rPr>
        <w:lastRenderedPageBreak/>
        <w:t>Rick Smead (by phone)</w:t>
      </w:r>
      <w:r w:rsidRPr="00265AA2">
        <w:rPr>
          <w:b/>
        </w:rPr>
        <w:br/>
      </w:r>
      <w:r w:rsidR="00265AA2" w:rsidRPr="00265AA2">
        <w:t>Rick Smead is a Director in the Power Systems, Markets &amp; Pricing group of the Energy practice of Navigant.  His practice has included potential acquisitions, policy analysis, litigation support, and strategic advice with respect to gas pipelines, potential supplies, and market initiatives, frequently concentrating in the downstream market and infrastructure issues affecting liquefied natural gas (LNG) projects, working both for project developers and for a large national oil company as the importer, and U.S. shale gas boom along its interaction with LNG, the pipeline industry, and gas markets.  With Gordon Pickering, he co-authored Navigant’s 2008 “North American Natural Gas Supply Assessment” for the American Clean Skies Foundation, the first major recognition of shale gas abundance.  A former long-time senior executive of multiple large interstate gas pipelines, he has testified in many proceedings at the Federal Energy Regulatory Commission, the National Energy Board of Canada, and various state and provincial agencies and courts.  Mr. Smead is an active speaker and author in the natural gas industry, and is an active member of the Energy Bar Association (EBA), the national association of energy attorneys.</w:t>
      </w:r>
    </w:p>
    <w:p w:rsidR="00CD07CD" w:rsidRPr="00265AA2" w:rsidRDefault="00CD07CD" w:rsidP="00CD07CD">
      <w:pPr>
        <w:spacing w:before="480" w:after="120"/>
      </w:pPr>
      <w:r w:rsidRPr="00265AA2">
        <w:rPr>
          <w:b/>
        </w:rPr>
        <w:t>Sue Tierney (by phone</w:t>
      </w:r>
      <w:proofErr w:type="gramStart"/>
      <w:r w:rsidRPr="00265AA2">
        <w:rPr>
          <w:b/>
        </w:rPr>
        <w:t>)</w:t>
      </w:r>
      <w:proofErr w:type="gramEnd"/>
      <w:r w:rsidRPr="00265AA2">
        <w:rPr>
          <w:b/>
        </w:rPr>
        <w:br/>
      </w:r>
      <w:r w:rsidRPr="00265AA2">
        <w:t xml:space="preserve">Sue Tierney, a Managing Principal at Analysis Group, is an expert on energy economics, regulation and policy, with a focus on the electric and gas industries.  She previously served as the Assistant Secretary for Policy at the U.S. DOE, and held various senior positions in Massachusetts government (Secretary for Environmental Affairs; public utility commissioner; executive director of the Energy Facilities Siting Council).  She co-chaired the DOE Agency Review Team for the Obama/Biden Presidential Transition Team.  She chairs the Board of Directors of the Energy Foundation and NREL’s Advisory Council; she also serves on the Secretary of Energy Advisory Board (and its Shale Gas Production Subcommittee), chairs the Policy Subgroup of the National Petroleum Council’s study of the North American natural gas resources, and is a member of the Bipartisan Policy Center’s energy project.  She is a director of the World Resources Institute; Clean Air Task Force; Clean Air – Cool Planet; and </w:t>
      </w:r>
      <w:proofErr w:type="spellStart"/>
      <w:r w:rsidRPr="00265AA2">
        <w:t>EnerNOC</w:t>
      </w:r>
      <w:proofErr w:type="spellEnd"/>
      <w:r w:rsidRPr="00265AA2">
        <w:t xml:space="preserve">.  She previously co-chaired the National Commission on Energy Policy, and taught at the University of California at Irvine and at MIT.  She earned her Ph.D. and M.A. degrees in regional planning at Cornell University.     </w:t>
      </w:r>
      <w:bookmarkStart w:id="1" w:name="_GoBack"/>
      <w:bookmarkEnd w:id="1"/>
    </w:p>
    <w:sectPr w:rsidR="00CD07CD" w:rsidRPr="00265AA2" w:rsidSect="00762C38">
      <w:headerReference w:type="default" r:id="rId8"/>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D36" w:rsidRDefault="00836D36">
      <w:r>
        <w:separator/>
      </w:r>
    </w:p>
  </w:endnote>
  <w:endnote w:type="continuationSeparator" w:id="0">
    <w:p w:rsidR="00836D36" w:rsidRDefault="0083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D36" w:rsidRDefault="00836D36">
      <w:r>
        <w:separator/>
      </w:r>
    </w:p>
  </w:footnote>
  <w:footnote w:type="continuationSeparator" w:id="0">
    <w:p w:rsidR="00836D36" w:rsidRDefault="00836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5E" w:rsidRDefault="0010605E">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14:anchorId="158E2B1B" wp14:editId="0A185CCA">
          <wp:simplePos x="0" y="0"/>
          <wp:positionH relativeFrom="column">
            <wp:posOffset>-24130</wp:posOffset>
          </wp:positionH>
          <wp:positionV relativeFrom="paragraph">
            <wp:posOffset>-6985</wp:posOffset>
          </wp:positionV>
          <wp:extent cx="981710" cy="1133475"/>
          <wp:effectExtent l="0" t="0" r="889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63AC6AC7" wp14:editId="68893360">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05E" w:rsidRDefault="001060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Ry+m+qwIAAKYFAAAOAAAAAAAAAAAA&#10;AAAAAC4CAABkcnMvZTJvRG9jLnhtbFBLAQItABQABgAIAAAAIQCJ5XFJ3AAAAAUBAAAPAAAAAAAA&#10;AAAAAAAAAAUFAABkcnMvZG93bnJldi54bWxQSwUGAAAAAAQABADzAAAADgYAAAAA&#10;" filled="f" stroked="f">
              <v:textbox inset="0,0,0,0">
                <w:txbxContent>
                  <w:p w:rsidR="002533AF" w:rsidRDefault="002533AF"/>
                </w:txbxContent>
              </v:textbox>
            </v:rect>
          </w:pict>
        </mc:Fallback>
      </mc:AlternateContent>
    </w:r>
  </w:p>
  <w:p w:rsidR="0010605E" w:rsidRDefault="0010605E">
    <w:pPr>
      <w:pStyle w:val="Header"/>
      <w:tabs>
        <w:tab w:val="left" w:pos="1080"/>
      </w:tabs>
      <w:ind w:left="2160"/>
      <w:rPr>
        <w:rFonts w:ascii="Bookman Old Style" w:hAnsi="Bookman Old Style"/>
        <w:b/>
        <w:sz w:val="28"/>
      </w:rPr>
    </w:pPr>
  </w:p>
  <w:p w:rsidR="0010605E" w:rsidRPr="00EC31F4" w:rsidRDefault="0010605E" w:rsidP="00E939AF">
    <w:pPr>
      <w:pStyle w:val="Header"/>
      <w:tabs>
        <w:tab w:val="left" w:pos="1080"/>
      </w:tabs>
      <w:ind w:left="1800"/>
      <w:jc w:val="right"/>
      <w:rPr>
        <w:b/>
        <w:spacing w:val="20"/>
        <w:sz w:val="32"/>
      </w:rPr>
    </w:pPr>
    <w:r w:rsidRPr="00EC31F4">
      <w:rPr>
        <w:b/>
        <w:spacing w:val="20"/>
        <w:sz w:val="32"/>
      </w:rPr>
      <w:t>North American Energy Standards Board</w:t>
    </w:r>
  </w:p>
  <w:p w:rsidR="0010605E" w:rsidRPr="00EC31F4" w:rsidRDefault="0010605E" w:rsidP="00E939AF">
    <w:pPr>
      <w:pStyle w:val="Header"/>
      <w:tabs>
        <w:tab w:val="left" w:pos="680"/>
        <w:tab w:val="right" w:pos="9810"/>
      </w:tabs>
      <w:spacing w:before="60"/>
      <w:ind w:left="1800"/>
      <w:jc w:val="right"/>
    </w:pPr>
    <w:r>
      <w:t>801 Travis</w:t>
    </w:r>
    <w:r w:rsidRPr="00EC31F4">
      <w:t xml:space="preserve">, Suite </w:t>
    </w:r>
    <w:r>
      <w:t>1675</w:t>
    </w:r>
    <w:r w:rsidRPr="00EC31F4">
      <w:t>, Houston, Texas 77002</w:t>
    </w:r>
  </w:p>
  <w:p w:rsidR="0010605E" w:rsidRPr="00EC31F4" w:rsidRDefault="0010605E" w:rsidP="00E939AF">
    <w:pPr>
      <w:pStyle w:val="Header"/>
      <w:ind w:left="1800"/>
      <w:jc w:val="right"/>
    </w:pPr>
    <w:r w:rsidRPr="00EC31F4">
      <w:t>Phone:  (713) 356-0060, Fax:  (713) 356-0067, E-mail: naesb@naesb.org</w:t>
    </w:r>
  </w:p>
  <w:p w:rsidR="0010605E" w:rsidRPr="00EC31F4" w:rsidRDefault="0010605E" w:rsidP="00CD07CD">
    <w:pPr>
      <w:pStyle w:val="Header"/>
      <w:pBdr>
        <w:bottom w:val="single" w:sz="18" w:space="0" w:color="auto"/>
      </w:pBdr>
      <w:ind w:left="1800" w:hanging="1800"/>
      <w:jc w:val="right"/>
    </w:pPr>
    <w:r w:rsidRPr="00EC31F4">
      <w:tab/>
      <w:t xml:space="preserve">Home Page: </w:t>
    </w:r>
    <w:hyperlink r:id="rId2" w:history="1">
      <w:r w:rsidRPr="00EC31F4">
        <w:rPr>
          <w:rStyle w:val="Hyperlink"/>
        </w:rPr>
        <w:t>www.naesb.org</w:t>
      </w:r>
    </w:hyperlink>
  </w:p>
  <w:p w:rsidR="00CD07CD" w:rsidRDefault="00CD07CD" w:rsidP="00CD07CD">
    <w:pPr>
      <w:pStyle w:val="Header"/>
      <w:pBdr>
        <w:bottom w:val="single" w:sz="18" w:space="0" w:color="auto"/>
      </w:pBdr>
      <w:spacing w:before="40" w:after="240"/>
      <w:ind w:left="1800" w:hanging="1800"/>
      <w:rPr>
        <w:sz w:val="8"/>
      </w:rPr>
    </w:pPr>
  </w:p>
  <w:p w:rsidR="00CD07CD" w:rsidRPr="000C29EE" w:rsidRDefault="00CD07CD" w:rsidP="00CD07CD">
    <w:pPr>
      <w:spacing w:before="240" w:after="600"/>
      <w:jc w:val="center"/>
      <w:rPr>
        <w:b/>
        <w:bCs/>
        <w:smallCaps/>
      </w:rPr>
    </w:pPr>
    <w:r>
      <w:rPr>
        <w:b/>
        <w:bCs/>
        <w:smallCaps/>
      </w:rPr>
      <w:t>NAESB PANEL Spe</w:t>
    </w:r>
    <w:r w:rsidRPr="000C29EE">
      <w:rPr>
        <w:b/>
        <w:bCs/>
        <w:smallCaps/>
      </w:rPr>
      <w:t>aker Biographies</w:t>
    </w:r>
    <w:r>
      <w:rPr>
        <w:b/>
        <w:bCs/>
        <w:smallCaps/>
      </w:rPr>
      <w:t xml:space="preserve"> – 2012 Strategic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3"/>
  </w:num>
  <w:num w:numId="2">
    <w:abstractNumId w:val="14"/>
  </w:num>
  <w:num w:numId="3">
    <w:abstractNumId w:val="1"/>
  </w:num>
  <w:num w:numId="4">
    <w:abstractNumId w:val="25"/>
  </w:num>
  <w:num w:numId="5">
    <w:abstractNumId w:val="2"/>
  </w:num>
  <w:num w:numId="6">
    <w:abstractNumId w:val="10"/>
  </w:num>
  <w:num w:numId="7">
    <w:abstractNumId w:val="4"/>
  </w:num>
  <w:num w:numId="8">
    <w:abstractNumId w:val="18"/>
  </w:num>
  <w:num w:numId="9">
    <w:abstractNumId w:val="22"/>
  </w:num>
  <w:num w:numId="10">
    <w:abstractNumId w:val="28"/>
  </w:num>
  <w:num w:numId="11">
    <w:abstractNumId w:val="3"/>
  </w:num>
  <w:num w:numId="12">
    <w:abstractNumId w:val="9"/>
  </w:num>
  <w:num w:numId="13">
    <w:abstractNumId w:val="27"/>
  </w:num>
  <w:num w:numId="14">
    <w:abstractNumId w:val="7"/>
  </w:num>
  <w:num w:numId="15">
    <w:abstractNumId w:val="5"/>
  </w:num>
  <w:num w:numId="16">
    <w:abstractNumId w:val="17"/>
  </w:num>
  <w:num w:numId="17">
    <w:abstractNumId w:val="12"/>
  </w:num>
  <w:num w:numId="18">
    <w:abstractNumId w:val="0"/>
  </w:num>
  <w:num w:numId="19">
    <w:abstractNumId w:val="23"/>
  </w:num>
  <w:num w:numId="20">
    <w:abstractNumId w:val="15"/>
  </w:num>
  <w:num w:numId="21">
    <w:abstractNumId w:val="20"/>
  </w:num>
  <w:num w:numId="22">
    <w:abstractNumId w:val="16"/>
  </w:num>
  <w:num w:numId="23">
    <w:abstractNumId w:val="26"/>
  </w:num>
  <w:num w:numId="24">
    <w:abstractNumId w:val="8"/>
  </w:num>
  <w:num w:numId="25">
    <w:abstractNumId w:val="21"/>
  </w:num>
  <w:num w:numId="26">
    <w:abstractNumId w:val="6"/>
  </w:num>
  <w:num w:numId="27">
    <w:abstractNumId w:val="11"/>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79B"/>
    <w:rsid w:val="00003953"/>
    <w:rsid w:val="00017AC3"/>
    <w:rsid w:val="000229D1"/>
    <w:rsid w:val="00024C68"/>
    <w:rsid w:val="000255E4"/>
    <w:rsid w:val="00047E2B"/>
    <w:rsid w:val="000601F6"/>
    <w:rsid w:val="00065F6B"/>
    <w:rsid w:val="00070A6A"/>
    <w:rsid w:val="0007484E"/>
    <w:rsid w:val="0008161C"/>
    <w:rsid w:val="000A4991"/>
    <w:rsid w:val="000B023B"/>
    <w:rsid w:val="000B772E"/>
    <w:rsid w:val="000C29EE"/>
    <w:rsid w:val="000C49A9"/>
    <w:rsid w:val="000C4C37"/>
    <w:rsid w:val="000C62AF"/>
    <w:rsid w:val="000D1584"/>
    <w:rsid w:val="000E0C19"/>
    <w:rsid w:val="000F31AC"/>
    <w:rsid w:val="00103F06"/>
    <w:rsid w:val="0010605E"/>
    <w:rsid w:val="0013131B"/>
    <w:rsid w:val="00144198"/>
    <w:rsid w:val="00144D28"/>
    <w:rsid w:val="00155A0F"/>
    <w:rsid w:val="001575C2"/>
    <w:rsid w:val="0017020C"/>
    <w:rsid w:val="0017169E"/>
    <w:rsid w:val="0017473D"/>
    <w:rsid w:val="001833AC"/>
    <w:rsid w:val="001926FC"/>
    <w:rsid w:val="001A009C"/>
    <w:rsid w:val="001A0C0E"/>
    <w:rsid w:val="001A33FC"/>
    <w:rsid w:val="001B4BEF"/>
    <w:rsid w:val="001C6327"/>
    <w:rsid w:val="001D09C7"/>
    <w:rsid w:val="001D3693"/>
    <w:rsid w:val="001D7E8A"/>
    <w:rsid w:val="00206EF1"/>
    <w:rsid w:val="00211C7C"/>
    <w:rsid w:val="002310C9"/>
    <w:rsid w:val="00235FEC"/>
    <w:rsid w:val="00242D31"/>
    <w:rsid w:val="00242E5F"/>
    <w:rsid w:val="00247772"/>
    <w:rsid w:val="002533AF"/>
    <w:rsid w:val="0025579E"/>
    <w:rsid w:val="00256F3D"/>
    <w:rsid w:val="00265AA2"/>
    <w:rsid w:val="00282BB3"/>
    <w:rsid w:val="002851FA"/>
    <w:rsid w:val="00285E54"/>
    <w:rsid w:val="002A674A"/>
    <w:rsid w:val="002B09FA"/>
    <w:rsid w:val="002B1272"/>
    <w:rsid w:val="002B7E03"/>
    <w:rsid w:val="002C222C"/>
    <w:rsid w:val="002C639B"/>
    <w:rsid w:val="002D0129"/>
    <w:rsid w:val="002E5FDC"/>
    <w:rsid w:val="00302586"/>
    <w:rsid w:val="00305F5B"/>
    <w:rsid w:val="0031754F"/>
    <w:rsid w:val="0031790F"/>
    <w:rsid w:val="00323556"/>
    <w:rsid w:val="00324CB5"/>
    <w:rsid w:val="00327253"/>
    <w:rsid w:val="00333C16"/>
    <w:rsid w:val="0033762C"/>
    <w:rsid w:val="00337B9B"/>
    <w:rsid w:val="00345778"/>
    <w:rsid w:val="00355F6B"/>
    <w:rsid w:val="00362E73"/>
    <w:rsid w:val="00377E9E"/>
    <w:rsid w:val="003A3E24"/>
    <w:rsid w:val="003A4018"/>
    <w:rsid w:val="003A771A"/>
    <w:rsid w:val="003B15F3"/>
    <w:rsid w:val="003D35D4"/>
    <w:rsid w:val="003D4E77"/>
    <w:rsid w:val="003E6754"/>
    <w:rsid w:val="003E6A91"/>
    <w:rsid w:val="003F6C54"/>
    <w:rsid w:val="00407DDB"/>
    <w:rsid w:val="00422AF3"/>
    <w:rsid w:val="00436A79"/>
    <w:rsid w:val="00455994"/>
    <w:rsid w:val="00456B50"/>
    <w:rsid w:val="00462393"/>
    <w:rsid w:val="00463943"/>
    <w:rsid w:val="00466958"/>
    <w:rsid w:val="00470400"/>
    <w:rsid w:val="004868AC"/>
    <w:rsid w:val="004914BE"/>
    <w:rsid w:val="00495145"/>
    <w:rsid w:val="004A431C"/>
    <w:rsid w:val="004B2FA1"/>
    <w:rsid w:val="004E677D"/>
    <w:rsid w:val="004F1A97"/>
    <w:rsid w:val="004F2076"/>
    <w:rsid w:val="004F3EEE"/>
    <w:rsid w:val="004F72FD"/>
    <w:rsid w:val="00500D0C"/>
    <w:rsid w:val="00500D2A"/>
    <w:rsid w:val="005015F7"/>
    <w:rsid w:val="00502777"/>
    <w:rsid w:val="00507BE1"/>
    <w:rsid w:val="00523C69"/>
    <w:rsid w:val="0053069A"/>
    <w:rsid w:val="005318EC"/>
    <w:rsid w:val="005325DD"/>
    <w:rsid w:val="005336AF"/>
    <w:rsid w:val="005360F5"/>
    <w:rsid w:val="00542194"/>
    <w:rsid w:val="00547B95"/>
    <w:rsid w:val="00547CA0"/>
    <w:rsid w:val="0056585B"/>
    <w:rsid w:val="005813C1"/>
    <w:rsid w:val="005A74F0"/>
    <w:rsid w:val="005C004D"/>
    <w:rsid w:val="005C2545"/>
    <w:rsid w:val="005C718D"/>
    <w:rsid w:val="005D3AB2"/>
    <w:rsid w:val="005D5BAC"/>
    <w:rsid w:val="005D7E60"/>
    <w:rsid w:val="005E0ECA"/>
    <w:rsid w:val="005E5A78"/>
    <w:rsid w:val="005F0C86"/>
    <w:rsid w:val="005F125A"/>
    <w:rsid w:val="005F7634"/>
    <w:rsid w:val="00600625"/>
    <w:rsid w:val="00600886"/>
    <w:rsid w:val="00601245"/>
    <w:rsid w:val="00613520"/>
    <w:rsid w:val="00613977"/>
    <w:rsid w:val="0062006C"/>
    <w:rsid w:val="00630B69"/>
    <w:rsid w:val="00650212"/>
    <w:rsid w:val="00650964"/>
    <w:rsid w:val="006600C9"/>
    <w:rsid w:val="00662A6F"/>
    <w:rsid w:val="00663427"/>
    <w:rsid w:val="006848B0"/>
    <w:rsid w:val="00692FDB"/>
    <w:rsid w:val="006A6526"/>
    <w:rsid w:val="006B255F"/>
    <w:rsid w:val="006B7823"/>
    <w:rsid w:val="006C5CB6"/>
    <w:rsid w:val="006D16BE"/>
    <w:rsid w:val="006D38BC"/>
    <w:rsid w:val="006D5545"/>
    <w:rsid w:val="006D7639"/>
    <w:rsid w:val="006E78F3"/>
    <w:rsid w:val="006F09D6"/>
    <w:rsid w:val="007050D2"/>
    <w:rsid w:val="007156F8"/>
    <w:rsid w:val="007352F3"/>
    <w:rsid w:val="00762C38"/>
    <w:rsid w:val="00764842"/>
    <w:rsid w:val="00772717"/>
    <w:rsid w:val="00775233"/>
    <w:rsid w:val="00790850"/>
    <w:rsid w:val="007C27C6"/>
    <w:rsid w:val="007C36BE"/>
    <w:rsid w:val="007C667E"/>
    <w:rsid w:val="007C77C5"/>
    <w:rsid w:val="007E13E0"/>
    <w:rsid w:val="007E1AFC"/>
    <w:rsid w:val="007E4686"/>
    <w:rsid w:val="007E5C93"/>
    <w:rsid w:val="00810DF5"/>
    <w:rsid w:val="00811E63"/>
    <w:rsid w:val="00816E16"/>
    <w:rsid w:val="00836D36"/>
    <w:rsid w:val="00843231"/>
    <w:rsid w:val="0084604B"/>
    <w:rsid w:val="008522FB"/>
    <w:rsid w:val="00861B0E"/>
    <w:rsid w:val="00866610"/>
    <w:rsid w:val="00871519"/>
    <w:rsid w:val="0087767A"/>
    <w:rsid w:val="00886A96"/>
    <w:rsid w:val="0089211A"/>
    <w:rsid w:val="00892464"/>
    <w:rsid w:val="00894F97"/>
    <w:rsid w:val="008A4476"/>
    <w:rsid w:val="008A49EB"/>
    <w:rsid w:val="008C264A"/>
    <w:rsid w:val="008C429F"/>
    <w:rsid w:val="008C5C7F"/>
    <w:rsid w:val="008D0B3B"/>
    <w:rsid w:val="008D3E7E"/>
    <w:rsid w:val="008D7F73"/>
    <w:rsid w:val="00900042"/>
    <w:rsid w:val="00910D95"/>
    <w:rsid w:val="0093107B"/>
    <w:rsid w:val="00934DB2"/>
    <w:rsid w:val="00943DC1"/>
    <w:rsid w:val="00944211"/>
    <w:rsid w:val="00954C9A"/>
    <w:rsid w:val="009556CC"/>
    <w:rsid w:val="0095650B"/>
    <w:rsid w:val="00964AD2"/>
    <w:rsid w:val="00972901"/>
    <w:rsid w:val="00975C98"/>
    <w:rsid w:val="00990464"/>
    <w:rsid w:val="009917D2"/>
    <w:rsid w:val="00991CC1"/>
    <w:rsid w:val="009A1435"/>
    <w:rsid w:val="009B5DA4"/>
    <w:rsid w:val="009C319C"/>
    <w:rsid w:val="009C5BB2"/>
    <w:rsid w:val="009C5D86"/>
    <w:rsid w:val="009F63FE"/>
    <w:rsid w:val="00A01789"/>
    <w:rsid w:val="00A17050"/>
    <w:rsid w:val="00A21705"/>
    <w:rsid w:val="00A32AEE"/>
    <w:rsid w:val="00A43DA5"/>
    <w:rsid w:val="00A443FC"/>
    <w:rsid w:val="00A50178"/>
    <w:rsid w:val="00A51A9F"/>
    <w:rsid w:val="00A67B0D"/>
    <w:rsid w:val="00A718B2"/>
    <w:rsid w:val="00A83F3F"/>
    <w:rsid w:val="00AA05F2"/>
    <w:rsid w:val="00AA2ED3"/>
    <w:rsid w:val="00AB0F79"/>
    <w:rsid w:val="00AB2D5C"/>
    <w:rsid w:val="00AC5FA9"/>
    <w:rsid w:val="00AD1597"/>
    <w:rsid w:val="00AD2D70"/>
    <w:rsid w:val="00AF59F8"/>
    <w:rsid w:val="00B00D46"/>
    <w:rsid w:val="00B01503"/>
    <w:rsid w:val="00B05D48"/>
    <w:rsid w:val="00B13BFA"/>
    <w:rsid w:val="00B16ABD"/>
    <w:rsid w:val="00B17D8B"/>
    <w:rsid w:val="00B26D8C"/>
    <w:rsid w:val="00B27EA2"/>
    <w:rsid w:val="00B30407"/>
    <w:rsid w:val="00B304E3"/>
    <w:rsid w:val="00B40E09"/>
    <w:rsid w:val="00B61277"/>
    <w:rsid w:val="00B63E5D"/>
    <w:rsid w:val="00B675D9"/>
    <w:rsid w:val="00B704A3"/>
    <w:rsid w:val="00B70BCC"/>
    <w:rsid w:val="00B81F19"/>
    <w:rsid w:val="00BB0FC7"/>
    <w:rsid w:val="00BD18DC"/>
    <w:rsid w:val="00BE049A"/>
    <w:rsid w:val="00BE2D6E"/>
    <w:rsid w:val="00BF00C2"/>
    <w:rsid w:val="00C041D3"/>
    <w:rsid w:val="00C1548B"/>
    <w:rsid w:val="00C70797"/>
    <w:rsid w:val="00C73BFD"/>
    <w:rsid w:val="00C77E66"/>
    <w:rsid w:val="00C90176"/>
    <w:rsid w:val="00CB3CA0"/>
    <w:rsid w:val="00CB4B7B"/>
    <w:rsid w:val="00CB524E"/>
    <w:rsid w:val="00CD07CD"/>
    <w:rsid w:val="00CD219F"/>
    <w:rsid w:val="00CD3CEF"/>
    <w:rsid w:val="00CD7B7B"/>
    <w:rsid w:val="00CE2E56"/>
    <w:rsid w:val="00CE5683"/>
    <w:rsid w:val="00CE6AD4"/>
    <w:rsid w:val="00CF0BF0"/>
    <w:rsid w:val="00CF12A3"/>
    <w:rsid w:val="00CF14F9"/>
    <w:rsid w:val="00CF4737"/>
    <w:rsid w:val="00D004A9"/>
    <w:rsid w:val="00D02214"/>
    <w:rsid w:val="00D0232D"/>
    <w:rsid w:val="00D1140A"/>
    <w:rsid w:val="00D21C98"/>
    <w:rsid w:val="00D22B53"/>
    <w:rsid w:val="00D240C5"/>
    <w:rsid w:val="00D24730"/>
    <w:rsid w:val="00D252C1"/>
    <w:rsid w:val="00D31C09"/>
    <w:rsid w:val="00D32CFC"/>
    <w:rsid w:val="00D4163F"/>
    <w:rsid w:val="00D4576B"/>
    <w:rsid w:val="00D4589E"/>
    <w:rsid w:val="00D47D37"/>
    <w:rsid w:val="00D5118D"/>
    <w:rsid w:val="00D63057"/>
    <w:rsid w:val="00D63C2A"/>
    <w:rsid w:val="00D70576"/>
    <w:rsid w:val="00D73664"/>
    <w:rsid w:val="00D7548E"/>
    <w:rsid w:val="00D81514"/>
    <w:rsid w:val="00D90DC0"/>
    <w:rsid w:val="00D931F5"/>
    <w:rsid w:val="00D95961"/>
    <w:rsid w:val="00DA06C0"/>
    <w:rsid w:val="00DA69E7"/>
    <w:rsid w:val="00DB2279"/>
    <w:rsid w:val="00DC6398"/>
    <w:rsid w:val="00DC6E4B"/>
    <w:rsid w:val="00DD03A6"/>
    <w:rsid w:val="00DE01A5"/>
    <w:rsid w:val="00DF684C"/>
    <w:rsid w:val="00E01756"/>
    <w:rsid w:val="00E019B9"/>
    <w:rsid w:val="00E03BD6"/>
    <w:rsid w:val="00E11567"/>
    <w:rsid w:val="00E22815"/>
    <w:rsid w:val="00E24041"/>
    <w:rsid w:val="00E30AC1"/>
    <w:rsid w:val="00E37691"/>
    <w:rsid w:val="00E433A4"/>
    <w:rsid w:val="00E45968"/>
    <w:rsid w:val="00E46A87"/>
    <w:rsid w:val="00E52F06"/>
    <w:rsid w:val="00E5405A"/>
    <w:rsid w:val="00E602AA"/>
    <w:rsid w:val="00E620BC"/>
    <w:rsid w:val="00E711AD"/>
    <w:rsid w:val="00E77599"/>
    <w:rsid w:val="00E939AF"/>
    <w:rsid w:val="00EA04F8"/>
    <w:rsid w:val="00EA2614"/>
    <w:rsid w:val="00EB1F41"/>
    <w:rsid w:val="00EB25DD"/>
    <w:rsid w:val="00EC31F4"/>
    <w:rsid w:val="00ED02D8"/>
    <w:rsid w:val="00EE51B3"/>
    <w:rsid w:val="00EF1B69"/>
    <w:rsid w:val="00EF5FC7"/>
    <w:rsid w:val="00F01955"/>
    <w:rsid w:val="00F02586"/>
    <w:rsid w:val="00F251C2"/>
    <w:rsid w:val="00F35ED3"/>
    <w:rsid w:val="00F37AA4"/>
    <w:rsid w:val="00F41EEB"/>
    <w:rsid w:val="00F44B8A"/>
    <w:rsid w:val="00F60D15"/>
    <w:rsid w:val="00F62457"/>
    <w:rsid w:val="00F7376D"/>
    <w:rsid w:val="00F82723"/>
    <w:rsid w:val="00F8790A"/>
    <w:rsid w:val="00F934F4"/>
    <w:rsid w:val="00F956E7"/>
    <w:rsid w:val="00FA08A1"/>
    <w:rsid w:val="00FA6D16"/>
    <w:rsid w:val="00FB5FCD"/>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uiPriority w:val="99"/>
    <w:rsid w:val="00DD03A6"/>
    <w:rPr>
      <w:rFonts w:cs="Times New Roman"/>
      <w:vertAlign w:val="superscript"/>
    </w:rPr>
  </w:style>
  <w:style w:type="paragraph" w:styleId="ListParagraph">
    <w:name w:val="List Paragraph"/>
    <w:basedOn w:val="Normal"/>
    <w:uiPriority w:val="99"/>
    <w:qFormat/>
    <w:rsid w:val="0089211A"/>
    <w:pPr>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uiPriority w:val="99"/>
    <w:rsid w:val="00DD03A6"/>
    <w:rPr>
      <w:rFonts w:cs="Times New Roman"/>
      <w:vertAlign w:val="superscript"/>
    </w:rPr>
  </w:style>
  <w:style w:type="paragraph" w:styleId="ListParagraph">
    <w:name w:val="List Paragraph"/>
    <w:basedOn w:val="Normal"/>
    <w:uiPriority w:val="99"/>
    <w:qFormat/>
    <w:rsid w:val="0089211A"/>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2008-08-04T20:19:00Z</cp:lastPrinted>
  <dcterms:created xsi:type="dcterms:W3CDTF">2011-09-16T03:50:00Z</dcterms:created>
  <dcterms:modified xsi:type="dcterms:W3CDTF">2011-09-16T03:50:00Z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