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7A6" w:rsidRDefault="00CF27A6" w:rsidP="009C019C"/>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360"/>
        <w:gridCol w:w="180"/>
        <w:gridCol w:w="540"/>
        <w:gridCol w:w="5040"/>
        <w:gridCol w:w="1170"/>
        <w:gridCol w:w="1620"/>
      </w:tblGrid>
      <w:tr w:rsidR="00CF27A6" w:rsidRPr="00540DDC">
        <w:trPr>
          <w:cantSplit/>
          <w:tblHeader/>
        </w:trPr>
        <w:tc>
          <w:tcPr>
            <w:tcW w:w="9630" w:type="dxa"/>
            <w:gridSpan w:val="8"/>
            <w:tcBorders>
              <w:bottom w:val="single" w:sz="4" w:space="0" w:color="auto"/>
            </w:tcBorders>
          </w:tcPr>
          <w:p w:rsidR="00CF27A6" w:rsidRPr="00540DDC" w:rsidRDefault="00CF27A6" w:rsidP="00283280">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t xml:space="preserve">Approved by the Board of Directors on </w:t>
            </w:r>
            <w:bookmarkEnd w:id="0"/>
            <w:bookmarkEnd w:id="1"/>
            <w:bookmarkEnd w:id="2"/>
            <w:bookmarkEnd w:id="3"/>
            <w:r w:rsidR="00283280">
              <w:rPr>
                <w:rFonts w:ascii="Times New Roman" w:hAnsi="Times New Roman"/>
                <w:b/>
                <w:sz w:val="18"/>
                <w:szCs w:val="18"/>
              </w:rPr>
              <w:t>September 22</w:t>
            </w:r>
            <w:r>
              <w:rPr>
                <w:rFonts w:ascii="Times New Roman" w:hAnsi="Times New Roman"/>
                <w:b/>
                <w:sz w:val="18"/>
                <w:szCs w:val="18"/>
              </w:rPr>
              <w:t xml:space="preserve">, 2011 </w:t>
            </w:r>
          </w:p>
        </w:tc>
      </w:tr>
      <w:tr w:rsidR="00CF27A6" w:rsidRPr="00540DDC">
        <w:trPr>
          <w:cantSplit/>
          <w:tblHeader/>
        </w:trPr>
        <w:tc>
          <w:tcPr>
            <w:tcW w:w="360" w:type="dxa"/>
            <w:tcBorders>
              <w:top w:val="single" w:sz="4" w:space="0" w:color="auto"/>
              <w:bottom w:val="single" w:sz="4" w:space="0" w:color="auto"/>
            </w:tcBorders>
          </w:tcPr>
          <w:p w:rsidR="00CF27A6" w:rsidRPr="00540DDC" w:rsidRDefault="00CF27A6" w:rsidP="00EA31F5">
            <w:pPr>
              <w:pStyle w:val="TableText"/>
              <w:spacing w:before="60" w:after="60"/>
              <w:rPr>
                <w:rFonts w:ascii="Times New Roman" w:hAnsi="Times New Roman"/>
                <w:b/>
                <w:sz w:val="18"/>
                <w:szCs w:val="18"/>
              </w:rPr>
            </w:pPr>
          </w:p>
        </w:tc>
        <w:tc>
          <w:tcPr>
            <w:tcW w:w="6480" w:type="dxa"/>
            <w:gridSpan w:val="5"/>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CF27A6" w:rsidRPr="00540DDC" w:rsidRDefault="00CF27A6"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CF27A6" w:rsidRPr="00540DDC">
        <w:trPr>
          <w:cantSplit/>
        </w:trPr>
        <w:tc>
          <w:tcPr>
            <w:tcW w:w="360" w:type="dxa"/>
            <w:tcBorders>
              <w:top w:val="single" w:sz="4" w:space="0" w:color="auto"/>
            </w:tcBorders>
          </w:tcPr>
          <w:p w:rsidR="00CF27A6" w:rsidRPr="00540DDC" w:rsidRDefault="00CF27A6"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7"/>
            <w:tcBorders>
              <w:top w:val="single" w:sz="4" w:space="0" w:color="auto"/>
            </w:tcBorders>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395C7E"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4"/>
          </w:tcPr>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 xml:space="preserve">Parallel Flow Visualization/Mitigation for Reliability Coordinators in the Eastern Interconnection – Permanent Solution  </w:t>
            </w:r>
          </w:p>
          <w:p w:rsidR="00CF27A6" w:rsidRPr="00540DDC" w:rsidRDefault="00CF27A6"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Del="00395C7E" w:rsidRDefault="00CF27A6"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BA2428">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4"/>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DCS and AGC (BAL-002 and BAL-005) Coordination with NERC</w:t>
            </w:r>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Monitor. (Will require coordination with Balancing Authority Reliability Based Controls Group created in July 2010 NERC Project 2010-14)</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vertAlign w:val="superscript"/>
              </w:rPr>
            </w:pPr>
            <w:r w:rsidRPr="00540DDC">
              <w:rPr>
                <w:rFonts w:ascii="Times New Roman" w:hAnsi="Times New Roman"/>
                <w:color w:val="auto"/>
                <w:sz w:val="18"/>
                <w:szCs w:val="18"/>
              </w:rPr>
              <w:t>TBD</w:t>
            </w:r>
            <w:r w:rsidRPr="00540DDC">
              <w:rPr>
                <w:rFonts w:ascii="Times New Roman" w:hAnsi="Times New Roman"/>
                <w:color w:val="auto"/>
                <w:sz w:val="18"/>
                <w:szCs w:val="18"/>
                <w:vertAlign w:val="superscript"/>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TIMTF</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0461C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d)</w:t>
            </w:r>
          </w:p>
        </w:tc>
        <w:tc>
          <w:tcPr>
            <w:tcW w:w="6120" w:type="dxa"/>
            <w:gridSpan w:val="4"/>
          </w:tcPr>
          <w:p w:rsidR="00CF27A6" w:rsidRPr="00540DDC" w:rsidDel="000461C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Coordinate with NERC on the functional model glossary revisions  </w:t>
            </w:r>
            <w:hyperlink r:id="rId9" w:history="1">
              <w:r w:rsidRPr="00540DDC">
                <w:rPr>
                  <w:rStyle w:val="Hyperlink"/>
                  <w:rFonts w:ascii="Times New Roman" w:hAnsi="Times New Roman"/>
                  <w:sz w:val="18"/>
                  <w:szCs w:val="18"/>
                </w:rPr>
                <w:t>NERC Project 2010-08</w:t>
              </w:r>
            </w:hyperlink>
            <w:r w:rsidRPr="00540DDC">
              <w:rPr>
                <w:rFonts w:ascii="Times New Roman" w:hAnsi="Times New Roman"/>
                <w:sz w:val="18"/>
                <w:szCs w:val="18"/>
              </w:rPr>
              <w:t xml:space="preserve"> </w:t>
            </w:r>
          </w:p>
        </w:tc>
        <w:tc>
          <w:tcPr>
            <w:tcW w:w="1170" w:type="dxa"/>
          </w:tcPr>
          <w:p w:rsidR="00CF27A6" w:rsidRPr="00540DDC" w:rsidDel="000461C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Del="000461C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e)</w:t>
            </w:r>
          </w:p>
        </w:tc>
        <w:tc>
          <w:tcPr>
            <w:tcW w:w="6120" w:type="dxa"/>
            <w:gridSpan w:val="4"/>
          </w:tcPr>
          <w:p w:rsidR="00CF27A6" w:rsidRPr="006C1972" w:rsidRDefault="00CF27A6"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hyperlink r:id="rId10" w:history="1">
              <w:r w:rsidRPr="006C1972">
                <w:rPr>
                  <w:rStyle w:val="Hyperlink"/>
                  <w:rFonts w:ascii="Times New Roman" w:hAnsi="Times New Roman"/>
                  <w:sz w:val="18"/>
                  <w:szCs w:val="18"/>
                </w:rPr>
                <w:t>NERC Project 2010-17</w:t>
              </w:r>
            </w:hyperlink>
          </w:p>
          <w:p w:rsidR="00CF27A6" w:rsidRPr="00540DDC" w:rsidRDefault="00CF27A6" w:rsidP="005B63E2">
            <w:pPr>
              <w:pStyle w:val="TableText"/>
              <w:tabs>
                <w:tab w:val="num" w:pos="433"/>
              </w:tabs>
              <w:spacing w:before="40" w:after="40"/>
              <w:ind w:left="144"/>
              <w:rPr>
                <w:rFonts w:ascii="Times New Roman" w:hAnsi="Times New Roman"/>
                <w:sz w:val="18"/>
                <w:szCs w:val="18"/>
              </w:rPr>
            </w:pPr>
            <w:r w:rsidRPr="006C1972">
              <w:rPr>
                <w:rFonts w:ascii="Times New Roman" w:hAnsi="Times New Roman"/>
                <w:sz w:val="18"/>
                <w:szCs w:val="18"/>
              </w:rPr>
              <w:t>Status: Started (Initial review performed to determine whether NAESB should adopt revised NERC definition or maintain existing definition.  Decision was to recommend adopting revised NERC definition.)</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sidRPr="00E76CEE">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2"/>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6"/>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1"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75312D">
              <w:fldChar w:fldCharType="begin"/>
            </w:r>
            <w:r w:rsidR="0075312D">
              <w:instrText xml:space="preserve"> HYPERLINK "http://www.naesb.org/doc_view2.asp?doc=ferc122807.pdf" </w:instrText>
            </w:r>
            <w:r w:rsidR="0075312D">
              <w:fldChar w:fldCharType="separate"/>
            </w:r>
            <w:r w:rsidRPr="00540DDC">
              <w:rPr>
                <w:rStyle w:val="Hyperlink"/>
                <w:rFonts w:ascii="Times New Roman" w:hAnsi="Times New Roman"/>
                <w:sz w:val="18"/>
                <w:szCs w:val="18"/>
              </w:rPr>
              <w:t>Order No. 890-A (Docket Nos. RM05-17-001, 002 and RM05-25-001, 002</w:t>
            </w:r>
            <w:r w:rsidR="0075312D">
              <w:rPr>
                <w:rStyle w:val="Hyperlink"/>
                <w:rFonts w:ascii="Times New Roman" w:hAnsi="Times New Roman"/>
                <w:sz w:val="18"/>
                <w:szCs w:val="18"/>
              </w:rPr>
              <w:fldChar w:fldCharType="end"/>
            </w:r>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CF27A6" w:rsidRPr="00540DDC">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3"/>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CF27A6" w:rsidRPr="00540DDC" w:rsidRDefault="00CF27A6" w:rsidP="005B63E2">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3</w:t>
            </w:r>
            <w:r w:rsidRPr="00644744">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4:  Pre-Emption; Request No. R05019</w:t>
            </w:r>
          </w:p>
        </w:tc>
      </w:tr>
      <w:tr w:rsidR="00CF27A6" w:rsidRPr="00540DDC">
        <w:trPr>
          <w:cantSplit/>
        </w:trPr>
        <w:tc>
          <w:tcPr>
            <w:tcW w:w="360" w:type="dxa"/>
          </w:tcPr>
          <w:p w:rsidR="00CF27A6" w:rsidRPr="00540DDC" w:rsidRDefault="00CF27A6" w:rsidP="005B63E2">
            <w:pPr>
              <w:pStyle w:val="TableText"/>
              <w:keepNext/>
              <w:keepLines/>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keepNext/>
              <w:keepLines/>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CF27A6" w:rsidRPr="00540DDC" w:rsidRDefault="00CF27A6"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Request No. R05019</w:t>
            </w:r>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1st Q, 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iii)</w:t>
            </w:r>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vertAlign w:val="superscript"/>
              </w:rPr>
            </w:pPr>
            <w:r w:rsidRPr="00540DDC">
              <w:rPr>
                <w:rFonts w:ascii="Times New Roman" w:hAnsi="Times New Roman"/>
                <w:sz w:val="18"/>
                <w:szCs w:val="18"/>
              </w:rPr>
              <w:t>Group 5:  Paragraph 1377</w:t>
            </w:r>
            <w:r w:rsidRPr="00540DDC">
              <w:rPr>
                <w:rStyle w:val="FootnoteReference"/>
                <w:rFonts w:ascii="Times New Roman" w:hAnsi="Times New Roman"/>
                <w:sz w:val="18"/>
                <w:szCs w:val="18"/>
              </w:rPr>
              <w:footnoteReference w:id="4"/>
            </w:r>
            <w:r w:rsidRPr="00540DDC">
              <w:rPr>
                <w:rFonts w:ascii="Times New Roman" w:hAnsi="Times New Roman"/>
                <w:sz w:val="18"/>
                <w:szCs w:val="18"/>
              </w:rPr>
              <w:t xml:space="preserve"> – Group 5 work should precede group 4 work</w:t>
            </w:r>
            <w:r w:rsidRPr="00540DDC">
              <w:rPr>
                <w:rFonts w:ascii="Times New Roman" w:hAnsi="Times New Roman"/>
                <w:sz w:val="18"/>
                <w:szCs w:val="18"/>
                <w:vertAlign w:val="superscript"/>
              </w:rPr>
              <w:t>3</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31"/>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1377-Coordination of Requests Across Multiple Transmission Systems</w:t>
            </w:r>
          </w:p>
          <w:p w:rsidR="00CF27A6" w:rsidRPr="00540DDC" w:rsidRDefault="00CF27A6" w:rsidP="001C6E3C">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r w:rsidRPr="00540DDC">
              <w:rPr>
                <w:rFonts w:ascii="Times New Roman" w:hAnsi="Times New Roman"/>
                <w:sz w:val="18"/>
                <w:szCs w:val="18"/>
              </w:rPr>
              <w:t>.</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Re-Bid Of Partial Service across Multiple Transmission Providers’ Systems </w:t>
            </w:r>
          </w:p>
          <w:p w:rsidR="00CF27A6" w:rsidRPr="00540DDC" w:rsidRDefault="00CF27A6"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31"/>
              </w:numPr>
              <w:tabs>
                <w:tab w:val="clear" w:pos="360"/>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Group DNR requests from a system with point-to-point requests on other systems for synchronization </w:t>
            </w:r>
          </w:p>
          <w:p w:rsidR="00CF27A6" w:rsidRPr="00540DDC" w:rsidRDefault="00CF27A6"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 through the OASIS subcommittee, the WEQ EC approved July 8, 2011, ratification due August 11, 2011</w:t>
            </w:r>
          </w:p>
        </w:tc>
        <w:tc>
          <w:tcPr>
            <w:tcW w:w="117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2</w:t>
            </w:r>
            <w:r w:rsidRPr="00540DDC">
              <w:rPr>
                <w:rFonts w:ascii="Times New Roman" w:hAnsi="Times New Roman"/>
                <w:sz w:val="18"/>
                <w:szCs w:val="18"/>
                <w:vertAlign w:val="superscript"/>
              </w:rPr>
              <w:t>nd</w:t>
            </w:r>
            <w:r w:rsidRPr="00540DDC">
              <w:rPr>
                <w:rFonts w:ascii="Times New Roman" w:hAnsi="Times New Roman"/>
                <w:sz w:val="18"/>
                <w:szCs w:val="18"/>
              </w:rPr>
              <w:t xml:space="preserve">  Q, 2011</w:t>
            </w:r>
          </w:p>
        </w:tc>
        <w:tc>
          <w:tcPr>
            <w:tcW w:w="1620" w:type="dxa"/>
          </w:tcPr>
          <w:p w:rsidR="00CF27A6" w:rsidRPr="00540DDC" w:rsidDel="000A1E25"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iv)</w:t>
            </w:r>
          </w:p>
        </w:tc>
        <w:tc>
          <w:tcPr>
            <w:tcW w:w="8370" w:type="dxa"/>
            <w:gridSpan w:val="4"/>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(Paragraphs 1390</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and 1627</w:t>
            </w:r>
            <w:r w:rsidRPr="00540DDC">
              <w:rPr>
                <w:rStyle w:val="FootnoteReference"/>
                <w:rFonts w:ascii="Times New Roman" w:hAnsi="Times New Roman"/>
                <w:sz w:val="18"/>
                <w:szCs w:val="18"/>
              </w:rPr>
              <w:footnoteReference w:id="6"/>
            </w:r>
            <w:r w:rsidRPr="00540DDC">
              <w:rPr>
                <w:rFonts w:ascii="Times New Roman" w:hAnsi="Times New Roman"/>
                <w:sz w:val="18"/>
                <w:szCs w:val="18"/>
              </w:rPr>
              <w:t xml:space="preserve"> of FERC Order No. 890)</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5B63E2">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 1390 of Order 890 – Terminations related to: deficient requests, customer failure to pay required annual reservation fee, and customer modifications to applications which are meaningfully different.</w:t>
            </w:r>
          </w:p>
          <w:p w:rsidR="00CF27A6" w:rsidRPr="00540DDC" w:rsidRDefault="00CF27A6" w:rsidP="0085016D">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BA2428">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p>
        </w:tc>
        <w:tc>
          <w:tcPr>
            <w:tcW w:w="54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p>
        </w:tc>
        <w:tc>
          <w:tcPr>
            <w:tcW w:w="5580" w:type="dxa"/>
            <w:gridSpan w:val="2"/>
          </w:tcPr>
          <w:p w:rsidR="00CF27A6" w:rsidRPr="00540DDC" w:rsidRDefault="00CF27A6"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Redispatch Cost Posting to allow for posting of third party offers of planning redispatch services.</w:t>
            </w:r>
          </w:p>
          <w:p w:rsidR="00CF27A6" w:rsidRPr="00540DDC" w:rsidRDefault="00CF27A6"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64474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 xml:space="preserve">Q, </w:t>
            </w:r>
            <w:r>
              <w:rPr>
                <w:rFonts w:ascii="Times New Roman" w:hAnsi="Times New Roman"/>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A617DF">
        <w:trPr>
          <w:cantSplit/>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4"/>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3" w:history="1">
              <w:r w:rsidRPr="00540DDC">
                <w:rPr>
                  <w:rStyle w:val="Hyperlink"/>
                  <w:rFonts w:ascii="Times New Roman" w:hAnsi="Times New Roman"/>
                  <w:sz w:val="18"/>
                  <w:szCs w:val="18"/>
                </w:rPr>
                <w:t>R05004</w:t>
              </w:r>
            </w:hyperlink>
            <w:r w:rsidRPr="00540DDC">
              <w:rPr>
                <w:rFonts w:ascii="Times New Roman" w:hAnsi="Times New Roman"/>
                <w:sz w:val="18"/>
                <w:szCs w:val="18"/>
              </w:rPr>
              <w:t>: The  processing of transmission service requests, which use  TTC/ATC/AFC, in coordination with NERC changes to MOD 001 where the allocation of flowgate capability based on historical Network Native Load impacts the evaluation of transmission service requests, requiring the posting of those allocation values in conjunction with queries of service offerings on OASIS</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r w:rsidRPr="00540DDC" w:rsidDel="00A617DF">
              <w:rPr>
                <w:rFonts w:ascii="Times New Roman" w:hAnsi="Times New Roman"/>
                <w:sz w:val="18"/>
                <w:szCs w:val="18"/>
              </w:rPr>
              <w:t xml:space="preserve"> </w:t>
            </w:r>
          </w:p>
        </w:tc>
        <w:tc>
          <w:tcPr>
            <w:tcW w:w="117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891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w:t>
            </w:r>
          </w:p>
        </w:tc>
        <w:tc>
          <w:tcPr>
            <w:tcW w:w="5580" w:type="dxa"/>
            <w:gridSpan w:val="2"/>
          </w:tcPr>
          <w:p w:rsidR="00CF27A6" w:rsidRDefault="00CF27A6"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4" w:history="1">
              <w:r w:rsidRPr="00540DDC">
                <w:rPr>
                  <w:rStyle w:val="Hyperlink"/>
                  <w:sz w:val="18"/>
                  <w:szCs w:val="18"/>
                </w:rPr>
                <w:t>R04006E</w:t>
              </w:r>
            </w:hyperlink>
            <w:r w:rsidRPr="00540DDC">
              <w:rPr>
                <w:sz w:val="18"/>
                <w:szCs w:val="18"/>
              </w:rPr>
              <w:t>). (Related to AP 2(a)(iii)</w:t>
            </w:r>
            <w:r>
              <w:rPr>
                <w:sz w:val="18"/>
                <w:szCs w:val="18"/>
              </w:rPr>
              <w:t xml:space="preserve"> and AP 2(a)(i)</w:t>
            </w:r>
            <w:r w:rsidRPr="00540DDC">
              <w:rPr>
                <w:sz w:val="18"/>
                <w:szCs w:val="18"/>
              </w:rPr>
              <w:t xml:space="preserve">) </w:t>
            </w:r>
          </w:p>
          <w:p w:rsidR="00CF27A6" w:rsidRDefault="00CF27A6" w:rsidP="006C1972">
            <w:pPr>
              <w:spacing w:before="40" w:after="40"/>
              <w:ind w:left="144"/>
              <w:rPr>
                <w:sz w:val="18"/>
                <w:szCs w:val="18"/>
              </w:rPr>
            </w:pPr>
            <w:r w:rsidRPr="00540DDC">
              <w:rPr>
                <w:sz w:val="18"/>
                <w:szCs w:val="18"/>
              </w:rPr>
              <w:t xml:space="preserve">Status: </w:t>
            </w:r>
            <w:r>
              <w:rPr>
                <w:sz w:val="18"/>
                <w:szCs w:val="18"/>
              </w:rPr>
              <w:t>Underway.</w:t>
            </w:r>
          </w:p>
        </w:tc>
        <w:tc>
          <w:tcPr>
            <w:tcW w:w="117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3</w:t>
            </w:r>
            <w:r w:rsidRPr="00BA2428">
              <w:rPr>
                <w:rFonts w:ascii="Times New Roman" w:hAnsi="Times New Roman"/>
                <w:sz w:val="18"/>
                <w:szCs w:val="18"/>
                <w:vertAlign w:val="superscript"/>
              </w:rPr>
              <w:t>rd</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rsidTr="00C13C1E">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w:t>
            </w:r>
          </w:p>
        </w:tc>
        <w:tc>
          <w:tcPr>
            <w:tcW w:w="5580" w:type="dxa"/>
            <w:gridSpan w:val="2"/>
          </w:tcPr>
          <w:p w:rsidR="00CF27A6" w:rsidRPr="00540DDC" w:rsidRDefault="00CF27A6"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5"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6" w:history="1">
              <w:r w:rsidRPr="00540DDC">
                <w:rPr>
                  <w:rStyle w:val="Hyperlink"/>
                  <w:rFonts w:ascii="Times New Roman" w:hAnsi="Times New Roman"/>
                  <w:sz w:val="18"/>
                  <w:szCs w:val="18"/>
                </w:rPr>
                <w:t>R06027</w:t>
              </w:r>
            </w:hyperlink>
            <w:r w:rsidRPr="00540DDC">
              <w:rPr>
                <w:rFonts w:ascii="Times New Roman" w:hAnsi="Times New Roman"/>
                <w:sz w:val="18"/>
                <w:szCs w:val="18"/>
              </w:rPr>
              <w:t>) and transition the TSIN Registry from NERC to NAESB as the enhanced Electric Industry Registry (EIR).</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Status: Underway.</w:t>
            </w:r>
          </w:p>
        </w:tc>
        <w:tc>
          <w:tcPr>
            <w:tcW w:w="1170" w:type="dxa"/>
          </w:tcPr>
          <w:p w:rsidR="00CF27A6" w:rsidRPr="00540DDC" w:rsidRDefault="00CF27A6"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1</w:t>
            </w:r>
            <w:r w:rsidRPr="00BA2428">
              <w:rPr>
                <w:rFonts w:ascii="Times New Roman" w:hAnsi="Times New Roman"/>
                <w:color w:val="auto"/>
                <w:sz w:val="18"/>
                <w:szCs w:val="18"/>
                <w:vertAlign w:val="superscript"/>
              </w:rPr>
              <w:t>st</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NAESB/NERC Administration, </w:t>
            </w:r>
            <w:smartTag w:uri="urn:schemas-microsoft-com:office:smarttags" w:element="PersonName">
              <w:r w:rsidRPr="00540DDC">
                <w:rPr>
                  <w:rFonts w:ascii="Times New Roman" w:hAnsi="Times New Roman"/>
                  <w:color w:val="auto"/>
                  <w:sz w:val="18"/>
                  <w:szCs w:val="18"/>
                </w:rPr>
                <w:t>JESS</w:t>
              </w:r>
            </w:smartTag>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iii)</w:t>
            </w:r>
          </w:p>
        </w:tc>
        <w:tc>
          <w:tcPr>
            <w:tcW w:w="8370" w:type="dxa"/>
            <w:gridSpan w:val="4"/>
          </w:tcPr>
          <w:p w:rsidR="00CF27A6" w:rsidRPr="00540DDC" w:rsidRDefault="00CF27A6"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7" w:history="1">
              <w:r w:rsidRPr="00540DDC">
                <w:rPr>
                  <w:rStyle w:val="Hyperlink"/>
                  <w:sz w:val="18"/>
                  <w:szCs w:val="18"/>
                </w:rPr>
                <w:t>R05026</w:t>
              </w:r>
            </w:hyperlink>
            <w:r w:rsidRPr="00540DDC">
              <w:rPr>
                <w:sz w:val="18"/>
                <w:szCs w:val="18"/>
              </w:rPr>
              <w:t xml:space="preserve">).   </w:t>
            </w:r>
          </w:p>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18"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1)</w:t>
            </w:r>
          </w:p>
        </w:tc>
        <w:tc>
          <w:tcPr>
            <w:tcW w:w="5040" w:type="dxa"/>
          </w:tcPr>
          <w:p w:rsidR="00CF27A6" w:rsidRPr="00540DDC" w:rsidRDefault="00CF27A6"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CF27A6" w:rsidRPr="00540DDC" w:rsidRDefault="00CF27A6" w:rsidP="005B63E2">
            <w:pPr>
              <w:spacing w:before="40" w:after="40"/>
              <w:ind w:left="144"/>
              <w:rPr>
                <w:sz w:val="18"/>
                <w:szCs w:val="18"/>
              </w:rPr>
            </w:pPr>
            <w:r w:rsidRPr="00540DDC">
              <w:rPr>
                <w:sz w:val="18"/>
                <w:szCs w:val="18"/>
              </w:rPr>
              <w:t>Status:  Not Started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2)</w:t>
            </w:r>
          </w:p>
        </w:tc>
        <w:tc>
          <w:tcPr>
            <w:tcW w:w="5040" w:type="dxa"/>
          </w:tcPr>
          <w:p w:rsidR="00CF27A6" w:rsidRPr="00540DDC" w:rsidRDefault="00CF27A6"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CF27A6" w:rsidRPr="00540DDC" w:rsidRDefault="00CF27A6"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p>
        </w:tc>
        <w:tc>
          <w:tcPr>
            <w:tcW w:w="540" w:type="dxa"/>
          </w:tcPr>
          <w:p w:rsidR="00CF27A6" w:rsidRPr="00540DDC" w:rsidRDefault="00CF27A6" w:rsidP="005B63E2">
            <w:pPr>
              <w:spacing w:before="40" w:after="40"/>
              <w:ind w:left="144"/>
              <w:rPr>
                <w:sz w:val="18"/>
                <w:szCs w:val="18"/>
              </w:rPr>
            </w:pPr>
            <w:r w:rsidRPr="00540DDC">
              <w:rPr>
                <w:sz w:val="18"/>
                <w:szCs w:val="18"/>
              </w:rPr>
              <w:t>3)</w:t>
            </w:r>
          </w:p>
        </w:tc>
        <w:tc>
          <w:tcPr>
            <w:tcW w:w="5040" w:type="dxa"/>
          </w:tcPr>
          <w:p w:rsidR="00CF27A6" w:rsidRPr="00540DDC" w:rsidRDefault="00CF27A6" w:rsidP="005B63E2">
            <w:pPr>
              <w:spacing w:before="40" w:after="40"/>
              <w:ind w:left="144"/>
              <w:rPr>
                <w:sz w:val="18"/>
                <w:szCs w:val="18"/>
              </w:rPr>
            </w:pPr>
            <w:r w:rsidRPr="00540DDC">
              <w:rPr>
                <w:sz w:val="18"/>
                <w:szCs w:val="18"/>
              </w:rPr>
              <w:t>Enhance the TSR result postings to allow showing of (i) limiting transmission elements and (ii) available generation dispatch options that would allow acceptance of reservation request.</w:t>
            </w:r>
          </w:p>
          <w:p w:rsidR="00CF27A6" w:rsidRPr="00540DDC" w:rsidRDefault="00CF27A6"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CF27A6" w:rsidRPr="00540DDC" w:rsidRDefault="00CF27A6" w:rsidP="005B63E2">
            <w:pPr>
              <w:spacing w:before="40" w:after="40"/>
              <w:jc w:val="center"/>
              <w:rPr>
                <w:sz w:val="18"/>
                <w:szCs w:val="18"/>
              </w:rPr>
            </w:pPr>
            <w:r w:rsidRPr="00540DDC">
              <w:rPr>
                <w:sz w:val="18"/>
                <w:szCs w:val="18"/>
              </w:rPr>
              <w:t xml:space="preserve">2012 </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iv)</w:t>
            </w:r>
          </w:p>
        </w:tc>
        <w:tc>
          <w:tcPr>
            <w:tcW w:w="5580" w:type="dxa"/>
            <w:gridSpan w:val="2"/>
          </w:tcPr>
          <w:p w:rsidR="00CF27A6" w:rsidRPr="00540DDC" w:rsidRDefault="00CF27A6"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Project 2008-12, Coordinate Interchange Standards Revisions and supporting EOP-002-2 R4 and R6.  </w:t>
            </w:r>
          </w:p>
          <w:p w:rsidR="00CF27A6" w:rsidRPr="00540DDC" w:rsidRDefault="00CF27A6"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p>
        </w:tc>
        <w:tc>
          <w:tcPr>
            <w:tcW w:w="1170" w:type="dxa"/>
          </w:tcPr>
          <w:p w:rsidR="00CF27A6" w:rsidRPr="00540DDC" w:rsidRDefault="00CF27A6">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CF27A6" w:rsidRPr="00540DDC">
        <w:trPr>
          <w:cantSplit/>
          <w:trHeight w:val="243"/>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b)</w:t>
            </w:r>
          </w:p>
        </w:tc>
        <w:tc>
          <w:tcPr>
            <w:tcW w:w="8910" w:type="dxa"/>
            <w:gridSpan w:val="6"/>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CF27A6" w:rsidRPr="00540DDC">
        <w:trPr>
          <w:cantSplit/>
          <w:trHeight w:val="24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w:t>
            </w:r>
          </w:p>
        </w:tc>
        <w:tc>
          <w:tcPr>
            <w:tcW w:w="558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PKI certification program for e-Tag and OASIS </w:t>
            </w:r>
          </w:p>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Underway</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3</w:t>
            </w:r>
            <w:r w:rsidRPr="00540DDC">
              <w:rPr>
                <w:rFonts w:ascii="Times New Roman" w:hAnsi="Times New Roman"/>
                <w:color w:val="auto"/>
                <w:sz w:val="18"/>
                <w:szCs w:val="18"/>
                <w:vertAlign w:val="superscript"/>
              </w:rPr>
              <w:t>rd</w:t>
            </w:r>
            <w:r w:rsidRPr="00540DDC">
              <w:rPr>
                <w:rFonts w:ascii="Times New Roman" w:hAnsi="Times New Roman"/>
                <w:color w:val="auto"/>
                <w:sz w:val="18"/>
                <w:szCs w:val="18"/>
              </w:rPr>
              <w:t xml:space="preserve"> 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Board Certification Program Committee</w:t>
            </w:r>
          </w:p>
        </w:tc>
      </w:tr>
      <w:tr w:rsidR="00CF27A6" w:rsidRPr="00540DDC">
        <w:trPr>
          <w:cantSplit/>
          <w:trHeight w:val="24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w:t>
            </w:r>
          </w:p>
        </w:tc>
        <w:tc>
          <w:tcPr>
            <w:tcW w:w="5580" w:type="dxa"/>
            <w:gridSpan w:val="2"/>
          </w:tcPr>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Develop PKI standards for OASIS.</w:t>
            </w:r>
          </w:p>
          <w:p w:rsidR="00CF27A6" w:rsidRPr="00540DDC" w:rsidRDefault="00CF27A6"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Status: Not Started  (upon initiation of this item by NAESB, a completion date will be determined)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AF546D" w:rsidRDefault="00CF27A6" w:rsidP="005B63E2">
            <w:pPr>
              <w:spacing w:before="40" w:after="40"/>
              <w:ind w:left="144"/>
              <w:rPr>
                <w:sz w:val="18"/>
                <w:szCs w:val="18"/>
              </w:rPr>
            </w:pPr>
          </w:p>
        </w:tc>
        <w:tc>
          <w:tcPr>
            <w:tcW w:w="540" w:type="dxa"/>
            <w:gridSpan w:val="2"/>
          </w:tcPr>
          <w:p w:rsidR="00CF27A6" w:rsidRPr="00540DDC" w:rsidRDefault="00CF27A6" w:rsidP="005B63E2">
            <w:pPr>
              <w:spacing w:before="40" w:after="40"/>
              <w:ind w:left="144"/>
              <w:rPr>
                <w:sz w:val="18"/>
                <w:szCs w:val="18"/>
              </w:rPr>
            </w:pPr>
            <w:r w:rsidRPr="00540DDC">
              <w:rPr>
                <w:sz w:val="18"/>
                <w:szCs w:val="18"/>
              </w:rPr>
              <w:t>iii)</w:t>
            </w:r>
          </w:p>
        </w:tc>
        <w:tc>
          <w:tcPr>
            <w:tcW w:w="5580" w:type="dxa"/>
            <w:gridSpan w:val="2"/>
          </w:tcPr>
          <w:p w:rsidR="00CF27A6" w:rsidRPr="00540DDC" w:rsidRDefault="00CF27A6" w:rsidP="005B63E2">
            <w:pPr>
              <w:spacing w:before="40" w:after="40"/>
              <w:ind w:left="144"/>
              <w:rPr>
                <w:sz w:val="18"/>
                <w:szCs w:val="18"/>
              </w:rPr>
            </w:pPr>
            <w:r w:rsidRPr="00540DDC">
              <w:rPr>
                <w:sz w:val="18"/>
                <w:szCs w:val="18"/>
              </w:rPr>
              <w:t>Develop Industry Implementation Plan for meeting PKI Standard requirements for e-tagging.</w:t>
            </w:r>
          </w:p>
          <w:p w:rsidR="00CF27A6" w:rsidRPr="00540DDC" w:rsidRDefault="00CF27A6" w:rsidP="005B63E2">
            <w:pPr>
              <w:spacing w:before="40" w:after="40"/>
              <w:ind w:left="144"/>
              <w:rPr>
                <w:sz w:val="18"/>
                <w:szCs w:val="18"/>
              </w:rPr>
            </w:pPr>
            <w:r w:rsidRPr="00540DDC">
              <w:rPr>
                <w:sz w:val="18"/>
                <w:szCs w:val="18"/>
              </w:rPr>
              <w:t>Status: Underway.  Full e-Tag implementation (server &amp; client side) is linked to the transition of the Registry from NERC to NAESB and NAESB implementation.</w:t>
            </w:r>
          </w:p>
        </w:tc>
        <w:tc>
          <w:tcPr>
            <w:tcW w:w="1170" w:type="dxa"/>
          </w:tcPr>
          <w:p w:rsidR="00CF27A6" w:rsidRPr="00540DDC" w:rsidDel="00AF546D"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TBD – dependent on item above (i) and EIR </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CF27A6" w:rsidRPr="00540DDC">
        <w:trPr>
          <w:cantSplit/>
          <w:trHeight w:val="503"/>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4</w:t>
            </w: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Review and develop business practices standards to Demand Response, Demand Side Management and Energy </w:t>
            </w:r>
            <w:r w:rsidRPr="00540DDC">
              <w:rPr>
                <w:rFonts w:ascii="Times New Roman" w:hAnsi="Times New Roman"/>
                <w:color w:val="auto"/>
                <w:sz w:val="18"/>
                <w:szCs w:val="18"/>
              </w:rPr>
              <w:t xml:space="preserve">Efficiency Programs </w:t>
            </w:r>
          </w:p>
        </w:tc>
      </w:tr>
      <w:tr w:rsidR="00CF27A6" w:rsidRPr="00540DDC">
        <w:trPr>
          <w:cantSplit/>
          <w:trHeight w:val="948"/>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Review and develop needed model business practices for a standardized method for quantifying benefits, savings, cost avoidance and/or the reduction in energy demand and usage derived from the implementation of demand side management and energy efficiency programs.  This effort will include demand side response, energy efficiency programs and metering, including the 'curtailment service provider' program.</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6120" w:type="dxa"/>
            <w:gridSpan w:val="4"/>
          </w:tcPr>
          <w:p w:rsidR="00CF27A6" w:rsidRPr="00540DDC" w:rsidRDefault="00CF27A6" w:rsidP="005B63E2">
            <w:pPr>
              <w:spacing w:before="40" w:after="40"/>
              <w:ind w:left="158"/>
              <w:rPr>
                <w:sz w:val="18"/>
                <w:szCs w:val="18"/>
              </w:rPr>
            </w:pPr>
            <w:r w:rsidRPr="00540DDC">
              <w:rPr>
                <w:sz w:val="18"/>
                <w:szCs w:val="18"/>
              </w:rPr>
              <w:t>Review the NAESB Business Practices for Measurement and Verification of Wholesale Electricity Demand Response (WEQ-015) in conjunction with the IRC developed Demand Response Matrix and  identify business practice requirements that could be improved or made clearer through the addition of specific technical detail.  The wholesale and retail demand response work groups and the Smart Grid Standards Subcommittees should actively and timely communicate and coordinate work products to ensure consistency between the three work groups.  Each work group should take into account the work products developed by the other.</w:t>
            </w:r>
          </w:p>
          <w:p w:rsidR="00CF27A6" w:rsidRPr="00540DDC" w:rsidRDefault="00CF27A6" w:rsidP="005B63E2">
            <w:pPr>
              <w:spacing w:before="40" w:after="40"/>
              <w:ind w:left="144"/>
              <w:rPr>
                <w:sz w:val="18"/>
                <w:szCs w:val="18"/>
              </w:rPr>
            </w:pPr>
            <w:r w:rsidRPr="00540DDC">
              <w:rPr>
                <w:sz w:val="18"/>
                <w:szCs w:val="18"/>
              </w:rPr>
              <w:t>Status: Completed</w:t>
            </w:r>
          </w:p>
        </w:tc>
        <w:tc>
          <w:tcPr>
            <w:tcW w:w="1170" w:type="dxa"/>
          </w:tcPr>
          <w:p w:rsidR="00CF27A6" w:rsidRPr="00540DDC" w:rsidRDefault="00CF27A6"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b)</w:t>
            </w:r>
          </w:p>
        </w:tc>
        <w:tc>
          <w:tcPr>
            <w:tcW w:w="6120" w:type="dxa"/>
            <w:gridSpan w:val="4"/>
          </w:tcPr>
          <w:p w:rsidR="00CF27A6" w:rsidRPr="00540DDC" w:rsidRDefault="00CF27A6" w:rsidP="005B63E2">
            <w:pPr>
              <w:spacing w:before="40" w:after="40"/>
              <w:ind w:left="144"/>
              <w:rPr>
                <w:sz w:val="18"/>
                <w:szCs w:val="18"/>
              </w:rPr>
            </w:pPr>
            <w:r w:rsidRPr="00540DDC">
              <w:rPr>
                <w:sz w:val="18"/>
                <w:szCs w:val="18"/>
              </w:rPr>
              <w:t xml:space="preserve">For each performance evaluation type/service type combination identified in WEQ-015, using the IRC matrix as a starting point, assess and determine what standards or guidelines, if any, should be developed to aid all participants in the use of measurement and verification methods for demand response programs in organized wholesale electric markets.  If the determination is made that standards or guidelines will be developed, those items will be added as sub-items to 4(b).  </w:t>
            </w:r>
          </w:p>
          <w:p w:rsidR="00CF27A6" w:rsidRPr="00540DDC" w:rsidRDefault="00CF27A6" w:rsidP="005B63E2">
            <w:pPr>
              <w:spacing w:before="40" w:after="40"/>
              <w:ind w:left="144"/>
              <w:rPr>
                <w:sz w:val="18"/>
                <w:szCs w:val="18"/>
              </w:rPr>
            </w:pPr>
            <w:r w:rsidRPr="00540DDC">
              <w:rPr>
                <w:sz w:val="18"/>
                <w:szCs w:val="18"/>
              </w:rPr>
              <w:t xml:space="preserve">Status:  Completed  </w:t>
            </w:r>
          </w:p>
        </w:tc>
        <w:tc>
          <w:tcPr>
            <w:tcW w:w="1170" w:type="dxa"/>
          </w:tcPr>
          <w:p w:rsidR="00CF27A6" w:rsidRPr="00540DDC" w:rsidRDefault="00CF27A6" w:rsidP="005B63E2">
            <w:pPr>
              <w:pStyle w:val="TableText"/>
              <w:widowControl w:val="0"/>
              <w:spacing w:before="40" w:after="40"/>
              <w:jc w:val="center"/>
              <w:rPr>
                <w:rFonts w:ascii="Times New Roman" w:hAnsi="Times New Roman"/>
                <w:color w:val="auto"/>
                <w:sz w:val="18"/>
                <w:szCs w:val="18"/>
              </w:rPr>
            </w:pPr>
            <w:r w:rsidRPr="00540DDC">
              <w:rPr>
                <w:rFonts w:ascii="Times New Roman" w:hAnsi="Times New Roman"/>
                <w:color w:val="auto"/>
                <w:sz w:val="18"/>
                <w:szCs w:val="18"/>
              </w:rPr>
              <w:t>Phase 2 – 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WEQ Section of the Joint WEQ/REQ DSM-EE Subcommittee</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c)</w:t>
            </w:r>
          </w:p>
        </w:tc>
        <w:tc>
          <w:tcPr>
            <w:tcW w:w="6120" w:type="dxa"/>
            <w:gridSpan w:val="4"/>
          </w:tcPr>
          <w:p w:rsidR="00CF27A6" w:rsidRPr="00540DDC" w:rsidRDefault="00CF27A6" w:rsidP="005B63E2">
            <w:pPr>
              <w:spacing w:before="40" w:after="40"/>
              <w:ind w:left="144"/>
              <w:rPr>
                <w:sz w:val="18"/>
                <w:szCs w:val="18"/>
              </w:rPr>
            </w:pPr>
            <w:r w:rsidRPr="00540DDC">
              <w:rPr>
                <w:sz w:val="18"/>
                <w:szCs w:val="18"/>
              </w:rPr>
              <w:t>Coordinate glossary updates for business practice standards with the Retail Electric Quadrant</w:t>
            </w:r>
          </w:p>
          <w:p w:rsidR="00CF27A6" w:rsidRPr="00540DDC" w:rsidRDefault="00CF27A6" w:rsidP="005B63E2">
            <w:pPr>
              <w:spacing w:before="40" w:after="40"/>
              <w:ind w:left="144"/>
              <w:rPr>
                <w:sz w:val="18"/>
                <w:szCs w:val="18"/>
              </w:rPr>
            </w:pPr>
            <w:r w:rsidRPr="00540DDC">
              <w:rPr>
                <w:sz w:val="18"/>
                <w:szCs w:val="18"/>
              </w:rPr>
              <w:t>Status:  Ongoing</w:t>
            </w:r>
          </w:p>
        </w:tc>
        <w:tc>
          <w:tcPr>
            <w:tcW w:w="1170" w:type="dxa"/>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Ongoing</w:t>
            </w:r>
          </w:p>
        </w:tc>
        <w:tc>
          <w:tcPr>
            <w:tcW w:w="1620" w:type="dxa"/>
          </w:tcPr>
          <w:p w:rsidR="00CF27A6" w:rsidRPr="00540DDC" w:rsidRDefault="00CF27A6" w:rsidP="00A50C8E">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DSM Subcommittee and WEQ SRS and Retail Glossary</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d)</w:t>
            </w:r>
          </w:p>
        </w:tc>
        <w:tc>
          <w:tcPr>
            <w:tcW w:w="6120" w:type="dxa"/>
            <w:gridSpan w:val="4"/>
          </w:tcPr>
          <w:p w:rsidR="00CF27A6" w:rsidRPr="00540DDC" w:rsidRDefault="00CF27A6" w:rsidP="005B63E2">
            <w:pPr>
              <w:spacing w:before="40" w:after="40"/>
              <w:ind w:left="144"/>
              <w:rPr>
                <w:sz w:val="18"/>
                <w:szCs w:val="18"/>
              </w:rPr>
            </w:pPr>
            <w:r w:rsidRPr="00540DDC">
              <w:rPr>
                <w:sz w:val="18"/>
                <w:szCs w:val="18"/>
              </w:rPr>
              <w:t>Develop business practice standards used to measure and verify reductions in energy and demand from energy efficiency in wholesale and retail markets.</w:t>
            </w:r>
            <w:r w:rsidRPr="00540DDC">
              <w:rPr>
                <w:rStyle w:val="EndnoteReference"/>
                <w:sz w:val="18"/>
                <w:szCs w:val="18"/>
              </w:rPr>
              <w:endnoteReference w:id="3"/>
            </w:r>
            <w:r w:rsidRPr="00540DDC">
              <w:rPr>
                <w:sz w:val="18"/>
                <w:szCs w:val="18"/>
              </w:rPr>
              <w:t xml:space="preserve">  This includes developing business practice standards to measure and verify energy reductions that are made to comply with a Renewable Portfolio Standard that included energy efficiency or a stand-alone Energy Efficiency Portfolio Standard </w:t>
            </w:r>
          </w:p>
          <w:p w:rsidR="00CF27A6" w:rsidRPr="00540DDC" w:rsidRDefault="00CF27A6" w:rsidP="005B63E2">
            <w:pPr>
              <w:spacing w:before="40" w:after="40"/>
              <w:ind w:left="144"/>
              <w:rPr>
                <w:sz w:val="18"/>
                <w:szCs w:val="18"/>
              </w:rPr>
            </w:pPr>
            <w:r w:rsidRPr="00540DDC">
              <w:rPr>
                <w:sz w:val="18"/>
                <w:szCs w:val="18"/>
              </w:rPr>
              <w:t>Status: The WEQ EE standards are completed.</w:t>
            </w:r>
          </w:p>
        </w:tc>
        <w:tc>
          <w:tcPr>
            <w:tcW w:w="1170" w:type="dxa"/>
          </w:tcPr>
          <w:p w:rsidR="00CF27A6"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r w:rsidRPr="00540DDC">
              <w:rPr>
                <w:rFonts w:ascii="Times New Roman" w:hAnsi="Times New Roman"/>
                <w:color w:val="auto"/>
                <w:sz w:val="18"/>
                <w:szCs w:val="18"/>
                <w:vertAlign w:val="superscript"/>
              </w:rPr>
              <w:t>th</w:t>
            </w:r>
            <w:r w:rsidRPr="00540DDC">
              <w:rPr>
                <w:rFonts w:ascii="Times New Roman" w:hAnsi="Times New Roman"/>
                <w:color w:val="auto"/>
                <w:sz w:val="18"/>
                <w:szCs w:val="18"/>
              </w:rPr>
              <w:t xml:space="preserve"> Q, 2010</w:t>
            </w:r>
          </w:p>
          <w:p w:rsidR="00CF27A6" w:rsidRDefault="00CF27A6" w:rsidP="005B63E2">
            <w:pPr>
              <w:pStyle w:val="TableText"/>
              <w:widowControl w:val="0"/>
              <w:spacing w:before="40" w:after="40"/>
              <w:ind w:left="144"/>
              <w:rPr>
                <w:rFonts w:ascii="Times New Roman" w:hAnsi="Times New Roman"/>
                <w:color w:val="auto"/>
                <w:sz w:val="18"/>
                <w:szCs w:val="18"/>
              </w:rPr>
            </w:pPr>
          </w:p>
          <w:p w:rsidR="00CF27A6" w:rsidRPr="00540DDC" w:rsidRDefault="00CF27A6"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Retail Standards 4</w:t>
            </w:r>
            <w:r>
              <w:rPr>
                <w:rFonts w:ascii="Times New Roman" w:hAnsi="Times New Roman"/>
                <w:color w:val="auto"/>
                <w:sz w:val="18"/>
                <w:szCs w:val="18"/>
                <w:vertAlign w:val="superscript"/>
              </w:rPr>
              <w:t>th</w:t>
            </w:r>
            <w:r>
              <w:rPr>
                <w:rFonts w:ascii="Times New Roman" w:hAnsi="Times New Roman"/>
                <w:color w:val="auto"/>
                <w:sz w:val="18"/>
                <w:szCs w:val="18"/>
              </w:rPr>
              <w:t xml:space="preserve"> 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 xml:space="preserve">Joint WEQ/REQ DSM-EE Subcommittee </w:t>
            </w:r>
          </w:p>
        </w:tc>
      </w:tr>
      <w:tr w:rsidR="00CF27A6" w:rsidRPr="00540DDC">
        <w:trPr>
          <w:cantSplit/>
          <w:trHeight w:val="300"/>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7"/>
          </w:tcPr>
          <w:p w:rsidR="00CF27A6" w:rsidRPr="00540DDC" w:rsidRDefault="00CF27A6" w:rsidP="005B63E2">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Maintain existing body of Version 2.x standards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6120" w:type="dxa"/>
            <w:gridSpan w:val="4"/>
          </w:tcPr>
          <w:p w:rsidR="00CF27A6" w:rsidRPr="00540DDC" w:rsidRDefault="00CF27A6"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Make consistency changes to Version 2.2 standards as directed by the WEQ Leadership Committee on December 12, 2007 OASIS Consistency Changes (R08001, R08002, R08003, R08005)</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CF27A6" w:rsidRPr="00540DDC" w:rsidDel="00A944BD"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3rd Q, 2011</w:t>
            </w:r>
          </w:p>
        </w:tc>
        <w:tc>
          <w:tcPr>
            <w:tcW w:w="1620" w:type="dxa"/>
          </w:tcPr>
          <w:p w:rsidR="00CF27A6" w:rsidRPr="00540DDC" w:rsidDel="00A944BD"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b)</w:t>
            </w:r>
          </w:p>
        </w:tc>
        <w:tc>
          <w:tcPr>
            <w:tcW w:w="6120" w:type="dxa"/>
            <w:gridSpan w:val="4"/>
          </w:tcPr>
          <w:p w:rsidR="00CF27A6" w:rsidRPr="00540DDC" w:rsidRDefault="00CF27A6" w:rsidP="0085016D">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Consistent with ¶51 of FERC Order No. 890-A, add AFC and TFC values to the “System_Attribute” data element of the NAESB Standard WEQ-003: OASIS S&amp;CP Data Dictionaries. (</w:t>
            </w:r>
            <w:hyperlink r:id="rId19"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Pr>
                <w:rFonts w:ascii="Times New Roman" w:hAnsi="Times New Roman"/>
                <w:sz w:val="18"/>
                <w:szCs w:val="18"/>
              </w:rPr>
              <w:t>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c)</w:t>
            </w:r>
          </w:p>
        </w:tc>
        <w:tc>
          <w:tcPr>
            <w:tcW w:w="6120" w:type="dxa"/>
            <w:gridSpan w:val="4"/>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0"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d)</w:t>
            </w:r>
          </w:p>
        </w:tc>
        <w:tc>
          <w:tcPr>
            <w:tcW w:w="6120" w:type="dxa"/>
            <w:gridSpan w:val="4"/>
          </w:tcPr>
          <w:p w:rsidR="00CF27A6" w:rsidRPr="00540DDC" w:rsidRDefault="00CF27A6"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1"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CF27A6" w:rsidRPr="00540DDC" w:rsidDel="00EB4564" w:rsidRDefault="00CF27A6"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 xml:space="preserve">1st </w:t>
            </w:r>
            <w:r w:rsidRPr="00540DDC">
              <w:rPr>
                <w:rFonts w:ascii="Times New Roman" w:hAnsi="Times New Roman"/>
                <w:sz w:val="18"/>
                <w:szCs w:val="18"/>
              </w:rPr>
              <w:t>Q, 201</w:t>
            </w:r>
            <w:r>
              <w:rPr>
                <w:rFonts w:ascii="Times New Roman" w:hAnsi="Times New Roman"/>
                <w:sz w:val="18"/>
                <w:szCs w:val="18"/>
              </w:rPr>
              <w:t>2</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e)</w:t>
            </w:r>
          </w:p>
        </w:tc>
        <w:tc>
          <w:tcPr>
            <w:tcW w:w="6120" w:type="dxa"/>
            <w:gridSpan w:val="4"/>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2"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435"/>
        </w:trPr>
        <w:tc>
          <w:tcPr>
            <w:tcW w:w="360" w:type="dxa"/>
          </w:tcPr>
          <w:p w:rsidR="00CF27A6" w:rsidRPr="00540DDC" w:rsidRDefault="00CF27A6"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7"/>
          </w:tcPr>
          <w:p w:rsidR="00CF27A6" w:rsidRPr="00540DDC" w:rsidDel="003E4DEE" w:rsidRDefault="00CF27A6"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Del="003E4DEE" w:rsidRDefault="00CF27A6" w:rsidP="009026F7">
            <w:pPr>
              <w:spacing w:before="60" w:after="60"/>
              <w:ind w:left="144"/>
              <w:rPr>
                <w:sz w:val="18"/>
                <w:szCs w:val="18"/>
              </w:rPr>
            </w:pPr>
            <w:r w:rsidRPr="00540DDC">
              <w:rPr>
                <w:sz w:val="18"/>
                <w:szCs w:val="18"/>
              </w:rPr>
              <w:t>a)</w:t>
            </w:r>
          </w:p>
        </w:tc>
        <w:tc>
          <w:tcPr>
            <w:tcW w:w="6120" w:type="dxa"/>
            <w:gridSpan w:val="4"/>
          </w:tcPr>
          <w:p w:rsidR="00CF27A6" w:rsidRPr="00540DDC" w:rsidRDefault="00CF27A6" w:rsidP="009026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requirements and use cases for PAP 03 – Pricing Model</w:t>
            </w:r>
            <w:r w:rsidRPr="00540DDC">
              <w:rPr>
                <w:sz w:val="18"/>
                <w:szCs w:val="18"/>
              </w:rPr>
              <w:br/>
              <w:t>Phase 2</w:t>
            </w:r>
            <w:r w:rsidRPr="00540DDC">
              <w:rPr>
                <w:sz w:val="18"/>
                <w:szCs w:val="18"/>
              </w:rPr>
              <w:br/>
              <w:t>Status: Completed</w:t>
            </w:r>
          </w:p>
        </w:tc>
        <w:tc>
          <w:tcPr>
            <w:tcW w:w="1170" w:type="dxa"/>
          </w:tcPr>
          <w:p w:rsidR="00CF27A6" w:rsidRPr="00540DDC" w:rsidRDefault="00CF27A6"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CF27A6" w:rsidRPr="00540DDC" w:rsidTr="009B70E3">
        <w:trPr>
          <w:cantSplit/>
          <w:trHeight w:val="768"/>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b)</w:t>
            </w:r>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04 – Scheduling Model</w:t>
            </w:r>
            <w:r w:rsidRPr="00540DDC">
              <w:rPr>
                <w:sz w:val="18"/>
                <w:szCs w:val="18"/>
              </w:rPr>
              <w:br/>
              <w:t>Phase 2</w:t>
            </w:r>
            <w:r w:rsidRPr="00540DDC">
              <w:rPr>
                <w:sz w:val="18"/>
                <w:szCs w:val="18"/>
              </w:rPr>
              <w:br/>
              <w:t>Status: Completed</w:t>
            </w:r>
          </w:p>
        </w:tc>
        <w:tc>
          <w:tcPr>
            <w:tcW w:w="1170" w:type="dxa"/>
          </w:tcPr>
          <w:p w:rsidR="00CF27A6" w:rsidRPr="00540DDC" w:rsidRDefault="00CF27A6"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Q, 2010</w:t>
            </w:r>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SGS Subcommittee</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c)</w:t>
            </w:r>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requirements and use cases for PAP 09 – Demand Response/Distributed Energy Resources</w:t>
            </w:r>
            <w:r w:rsidRPr="00540DDC">
              <w:rPr>
                <w:sz w:val="18"/>
                <w:szCs w:val="18"/>
              </w:rPr>
              <w:br/>
              <w:t>Phase 2</w:t>
            </w:r>
            <w:r w:rsidRPr="00540DDC">
              <w:rPr>
                <w:sz w:val="18"/>
                <w:szCs w:val="18"/>
              </w:rPr>
              <w:br/>
              <w:t>Status: Completed</w:t>
            </w:r>
          </w:p>
        </w:tc>
        <w:tc>
          <w:tcPr>
            <w:tcW w:w="1170" w:type="dxa"/>
          </w:tcPr>
          <w:p w:rsidR="00CF27A6" w:rsidRPr="00540DDC" w:rsidRDefault="00CF27A6"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WEQ Section of the Joint WEQ/REQ SGS Subcommittee</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d)</w:t>
            </w:r>
          </w:p>
        </w:tc>
        <w:tc>
          <w:tcPr>
            <w:tcW w:w="6120" w:type="dxa"/>
            <w:gridSpan w:val="4"/>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w:t>
            </w:r>
          </w:p>
        </w:tc>
        <w:tc>
          <w:tcPr>
            <w:tcW w:w="1170" w:type="dxa"/>
          </w:tcPr>
          <w:p w:rsidR="00CF27A6" w:rsidRPr="00540DDC" w:rsidRDefault="00CF27A6" w:rsidP="005B63E2">
            <w:pPr>
              <w:spacing w:before="40" w:after="40"/>
              <w:jc w:val="center"/>
              <w:rPr>
                <w:sz w:val="18"/>
                <w:szCs w:val="18"/>
              </w:rPr>
            </w:pP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p>
        </w:tc>
      </w:tr>
      <w:tr w:rsidR="00CF27A6" w:rsidRPr="00540DDC" w:rsidTr="009B70E3">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360" w:type="dxa"/>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w:t>
            </w:r>
          </w:p>
        </w:tc>
        <w:tc>
          <w:tcPr>
            <w:tcW w:w="5760" w:type="dxa"/>
            <w:gridSpan w:val="3"/>
          </w:tcPr>
          <w:p w:rsidR="00CF27A6" w:rsidRPr="00540DDC" w:rsidRDefault="00CF27A6"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sz w:val="18"/>
                <w:szCs w:val="18"/>
              </w:rPr>
            </w:pPr>
            <w:r w:rsidRPr="00540DDC">
              <w:rPr>
                <w:sz w:val="18"/>
                <w:szCs w:val="18"/>
              </w:rPr>
              <w:t xml:space="preserve">Develop Information Model and related business practices </w:t>
            </w:r>
          </w:p>
          <w:p w:rsidR="00CF27A6" w:rsidRPr="00540DDC" w:rsidRDefault="00CF27A6" w:rsidP="009B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Status: Complete</w:t>
            </w:r>
            <w:r>
              <w:rPr>
                <w:sz w:val="18"/>
                <w:szCs w:val="18"/>
              </w:rPr>
              <w:t>d</w:t>
            </w:r>
          </w:p>
        </w:tc>
        <w:tc>
          <w:tcPr>
            <w:tcW w:w="1170" w:type="dxa"/>
          </w:tcPr>
          <w:p w:rsidR="00CF27A6" w:rsidRPr="00540DDC" w:rsidRDefault="00CF27A6" w:rsidP="009026F7">
            <w:pPr>
              <w:jc w:val="center"/>
              <w:rPr>
                <w:sz w:val="18"/>
                <w:szCs w:val="18"/>
              </w:rPr>
            </w:pPr>
            <w:r w:rsidRPr="00540DDC">
              <w:rPr>
                <w:sz w:val="18"/>
                <w:szCs w:val="18"/>
              </w:rPr>
              <w:t>4</w:t>
            </w:r>
            <w:r w:rsidRPr="00540DDC">
              <w:rPr>
                <w:sz w:val="18"/>
                <w:szCs w:val="18"/>
                <w:vertAlign w:val="superscript"/>
              </w:rPr>
              <w:t>th</w:t>
            </w:r>
            <w:r w:rsidRPr="00540DDC">
              <w:rPr>
                <w:sz w:val="18"/>
                <w:szCs w:val="18"/>
              </w:rPr>
              <w:t xml:space="preserve">  </w:t>
            </w:r>
            <w:r w:rsidRPr="00540DDC">
              <w:rPr>
                <w:sz w:val="18"/>
                <w:szCs w:val="18"/>
                <w:vertAlign w:val="superscript"/>
              </w:rPr>
              <w:t xml:space="preserve"> </w:t>
            </w:r>
            <w:r w:rsidRPr="00540DDC">
              <w:rPr>
                <w:sz w:val="18"/>
                <w:szCs w:val="18"/>
              </w:rPr>
              <w:t>Q, 2010</w:t>
            </w:r>
          </w:p>
        </w:tc>
        <w:tc>
          <w:tcPr>
            <w:tcW w:w="1620" w:type="dxa"/>
          </w:tcPr>
          <w:p w:rsidR="00CF27A6" w:rsidRPr="00540DDC" w:rsidRDefault="00CF27A6"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CF27A6" w:rsidRPr="00540DDC" w:rsidTr="009B70E3">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p>
        </w:tc>
        <w:tc>
          <w:tcPr>
            <w:tcW w:w="360" w:type="dxa"/>
          </w:tcPr>
          <w:p w:rsidR="00CF27A6" w:rsidRPr="00540DDC" w:rsidRDefault="00CF27A6" w:rsidP="005B63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ii)</w:t>
            </w:r>
          </w:p>
        </w:tc>
        <w:tc>
          <w:tcPr>
            <w:tcW w:w="5760" w:type="dxa"/>
            <w:gridSpan w:val="3"/>
          </w:tcPr>
          <w:p w:rsidR="00CF27A6" w:rsidRPr="00540DDC" w:rsidRDefault="00CF27A6"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Status: Not Started, pending discussions with CIM and SEP 2.0</w:t>
            </w:r>
          </w:p>
        </w:tc>
        <w:tc>
          <w:tcPr>
            <w:tcW w:w="1170" w:type="dxa"/>
          </w:tcPr>
          <w:p w:rsidR="00CF27A6" w:rsidRPr="00540DDC" w:rsidRDefault="00CF27A6" w:rsidP="009026F7">
            <w:pPr>
              <w:spacing w:before="40" w:after="40"/>
              <w:jc w:val="center"/>
              <w:rPr>
                <w:sz w:val="18"/>
                <w:szCs w:val="18"/>
              </w:rPr>
            </w:pPr>
            <w:r w:rsidRPr="00540DDC">
              <w:rPr>
                <w:sz w:val="18"/>
                <w:szCs w:val="18"/>
              </w:rPr>
              <w:t>2011</w:t>
            </w:r>
          </w:p>
        </w:tc>
        <w:tc>
          <w:tcPr>
            <w:tcW w:w="1620" w:type="dxa"/>
          </w:tcPr>
          <w:p w:rsidR="00CF27A6" w:rsidRPr="00540DDC" w:rsidRDefault="00CF27A6" w:rsidP="009026F7">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CF27A6" w:rsidRPr="00540DDC" w:rsidTr="00710F6F">
        <w:trPr>
          <w:cantSplit/>
          <w:trHeight w:val="372"/>
        </w:trPr>
        <w:tc>
          <w:tcPr>
            <w:tcW w:w="360" w:type="dxa"/>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7"/>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23"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a)</w:t>
            </w:r>
          </w:p>
        </w:tc>
        <w:tc>
          <w:tcPr>
            <w:tcW w:w="6120" w:type="dxa"/>
            <w:gridSpan w:val="4"/>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Review standards 001-14.1.3 and 001-15.1.2 based on FERC Order No. 676-E (See ¶ 39</w:t>
            </w:r>
            <w:r w:rsidRPr="00540DDC">
              <w:rPr>
                <w:rStyle w:val="FootnoteReference"/>
                <w:sz w:val="18"/>
                <w:szCs w:val="18"/>
              </w:rPr>
              <w:footnoteReference w:id="7"/>
            </w:r>
            <w:r w:rsidRPr="00540DDC">
              <w:rPr>
                <w:sz w:val="18"/>
                <w:szCs w:val="18"/>
              </w:rPr>
              <w:t>)</w:t>
            </w:r>
            <w:r>
              <w:rPr>
                <w:sz w:val="18"/>
                <w:szCs w:val="18"/>
              </w:rPr>
              <w:br/>
            </w:r>
            <w:r w:rsidRPr="00540DDC">
              <w:rPr>
                <w:sz w:val="18"/>
                <w:szCs w:val="18"/>
              </w:rPr>
              <w:t xml:space="preserve">Status:  </w:t>
            </w:r>
            <w:r>
              <w:rPr>
                <w:sz w:val="18"/>
                <w:szCs w:val="18"/>
              </w:rPr>
              <w:t>Completed</w:t>
            </w:r>
          </w:p>
        </w:tc>
        <w:tc>
          <w:tcPr>
            <w:tcW w:w="1170" w:type="dxa"/>
          </w:tcPr>
          <w:p w:rsidR="00CF27A6" w:rsidRPr="00540DDC" w:rsidRDefault="00CF27A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BA2428">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b)</w:t>
            </w:r>
          </w:p>
        </w:tc>
        <w:tc>
          <w:tcPr>
            <w:tcW w:w="6120" w:type="dxa"/>
            <w:gridSpan w:val="4"/>
          </w:tcPr>
          <w:p w:rsidR="00CF27A6" w:rsidRPr="00540DDC" w:rsidRDefault="00CF27A6" w:rsidP="00850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8"/>
            </w:r>
            <w:r w:rsidRPr="00540DDC">
              <w:rPr>
                <w:sz w:val="18"/>
                <w:szCs w:val="18"/>
              </w:rPr>
              <w:t>)</w:t>
            </w:r>
            <w:r>
              <w:rPr>
                <w:sz w:val="18"/>
                <w:szCs w:val="18"/>
              </w:rPr>
              <w:br/>
            </w:r>
            <w:r w:rsidRPr="00540DDC">
              <w:rPr>
                <w:sz w:val="18"/>
                <w:szCs w:val="18"/>
              </w:rPr>
              <w:t xml:space="preserve">Status: </w:t>
            </w:r>
            <w:r>
              <w:rPr>
                <w:sz w:val="18"/>
                <w:szCs w:val="18"/>
              </w:rPr>
              <w:t>Started</w:t>
            </w:r>
          </w:p>
        </w:tc>
        <w:tc>
          <w:tcPr>
            <w:tcW w:w="1170" w:type="dxa"/>
          </w:tcPr>
          <w:p w:rsidR="00CF27A6" w:rsidRPr="00540DDC" w:rsidRDefault="00CF27A6" w:rsidP="007D31C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2011</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CF27A6" w:rsidRPr="00540DDC">
        <w:trPr>
          <w:cantSplit/>
          <w:trHeight w:val="503"/>
        </w:trPr>
        <w:tc>
          <w:tcPr>
            <w:tcW w:w="360" w:type="dxa"/>
          </w:tcPr>
          <w:p w:rsidR="00CF27A6" w:rsidRPr="00540DDC" w:rsidRDefault="00CF27A6" w:rsidP="005B63E2">
            <w:pPr>
              <w:pStyle w:val="TableText"/>
              <w:spacing w:before="40" w:after="40"/>
              <w:ind w:left="144"/>
              <w:rPr>
                <w:rFonts w:ascii="Times New Roman" w:hAnsi="Times New Roman"/>
                <w:color w:val="auto"/>
                <w:sz w:val="18"/>
                <w:szCs w:val="18"/>
              </w:rPr>
            </w:pPr>
          </w:p>
        </w:tc>
        <w:tc>
          <w:tcPr>
            <w:tcW w:w="360" w:type="dxa"/>
          </w:tcPr>
          <w:p w:rsidR="00CF27A6" w:rsidRPr="00540DDC" w:rsidRDefault="00CF27A6" w:rsidP="005B63E2">
            <w:pPr>
              <w:spacing w:before="40" w:after="40"/>
              <w:ind w:left="144"/>
              <w:rPr>
                <w:sz w:val="18"/>
                <w:szCs w:val="18"/>
              </w:rPr>
            </w:pPr>
            <w:r w:rsidRPr="00540DDC">
              <w:rPr>
                <w:sz w:val="18"/>
                <w:szCs w:val="18"/>
              </w:rPr>
              <w:t>c)</w:t>
            </w:r>
          </w:p>
        </w:tc>
        <w:tc>
          <w:tcPr>
            <w:tcW w:w="6120" w:type="dxa"/>
            <w:gridSpan w:val="4"/>
          </w:tcPr>
          <w:p w:rsidR="00CF27A6" w:rsidRPr="00540DDC" w:rsidRDefault="00CF27A6" w:rsidP="00E76C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Prepare status reports every six months regarding the development of standards for the coordination of transmission service requests across multiple transmission systems (See ¶ 105</w:t>
            </w:r>
            <w:r w:rsidRPr="00540DDC">
              <w:rPr>
                <w:rStyle w:val="FootnoteReference"/>
                <w:sz w:val="18"/>
                <w:szCs w:val="18"/>
              </w:rPr>
              <w:footnoteReference w:id="9"/>
            </w:r>
            <w:r w:rsidRPr="00540DDC">
              <w:rPr>
                <w:sz w:val="18"/>
                <w:szCs w:val="18"/>
              </w:rPr>
              <w:t>).  This annual plan item is tied to Annual Plan Item 2(a</w:t>
            </w:r>
            <w:proofErr w:type="gramStart"/>
            <w:r w:rsidRPr="00540DDC">
              <w:rPr>
                <w:sz w:val="18"/>
                <w:szCs w:val="18"/>
              </w:rPr>
              <w:t>)(</w:t>
            </w:r>
            <w:proofErr w:type="gramEnd"/>
            <w:r w:rsidRPr="00540DDC">
              <w:rPr>
                <w:sz w:val="18"/>
                <w:szCs w:val="18"/>
              </w:rPr>
              <w:t>iii)</w:t>
            </w:r>
            <w:r>
              <w:rPr>
                <w:sz w:val="18"/>
                <w:szCs w:val="18"/>
              </w:rPr>
              <w:br/>
            </w:r>
            <w:r w:rsidRPr="00540DDC">
              <w:rPr>
                <w:sz w:val="18"/>
                <w:szCs w:val="18"/>
              </w:rPr>
              <w:t xml:space="preserve">Status: Underway – </w:t>
            </w:r>
            <w:r>
              <w:rPr>
                <w:sz w:val="18"/>
                <w:szCs w:val="18"/>
              </w:rPr>
              <w:t xml:space="preserve">second </w:t>
            </w:r>
            <w:r w:rsidRPr="00540DDC">
              <w:rPr>
                <w:sz w:val="18"/>
                <w:szCs w:val="18"/>
              </w:rPr>
              <w:t xml:space="preserve"> report filed.</w:t>
            </w:r>
          </w:p>
        </w:tc>
        <w:tc>
          <w:tcPr>
            <w:tcW w:w="1170" w:type="dxa"/>
          </w:tcPr>
          <w:p w:rsidR="00CF27A6" w:rsidRPr="00540DDC" w:rsidRDefault="00CF27A6" w:rsidP="005B63E2">
            <w:pPr>
              <w:pStyle w:val="TableText"/>
              <w:widowControl w:val="0"/>
              <w:spacing w:before="40" w:after="40"/>
              <w:ind w:left="144"/>
              <w:jc w:val="center"/>
              <w:rPr>
                <w:rFonts w:ascii="Times New Roman" w:hAnsi="Times New Roman"/>
                <w:sz w:val="18"/>
                <w:szCs w:val="18"/>
              </w:rPr>
            </w:pPr>
            <w:r w:rsidRPr="00540DDC">
              <w:rPr>
                <w:rFonts w:ascii="Times New Roman" w:hAnsi="Times New Roman"/>
                <w:sz w:val="18"/>
                <w:szCs w:val="18"/>
              </w:rPr>
              <w:t>Ongoing</w:t>
            </w:r>
          </w:p>
        </w:tc>
        <w:tc>
          <w:tcPr>
            <w:tcW w:w="1620" w:type="dxa"/>
          </w:tcPr>
          <w:p w:rsidR="00CF27A6" w:rsidRPr="00540DDC" w:rsidRDefault="00CF27A6"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 Office</w:t>
            </w:r>
          </w:p>
        </w:tc>
      </w:tr>
    </w:tbl>
    <w:p w:rsidR="00CF27A6" w:rsidRPr="00540DDC" w:rsidRDefault="00CF27A6" w:rsidP="005B63E2">
      <w:pPr>
        <w:spacing w:before="40" w:after="40"/>
        <w:rPr>
          <w:sz w:val="18"/>
          <w:szCs w:val="18"/>
        </w:rPr>
      </w:pPr>
    </w:p>
    <w:p w:rsidR="00CF27A6" w:rsidRPr="00540DDC" w:rsidRDefault="00CF27A6" w:rsidP="005B63E2">
      <w:pPr>
        <w:spacing w:before="40" w:after="40"/>
        <w:rPr>
          <w:sz w:val="18"/>
          <w:szCs w:val="18"/>
        </w:rPr>
      </w:pPr>
    </w:p>
    <w:tbl>
      <w:tblPr>
        <w:tblW w:w="945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630"/>
        <w:gridCol w:w="8820"/>
      </w:tblGrid>
      <w:tr w:rsidR="00CF27A6" w:rsidRPr="00540DDC" w:rsidTr="00A00E7D">
        <w:trPr>
          <w:cantSplit/>
          <w:tblHeader/>
        </w:trPr>
        <w:tc>
          <w:tcPr>
            <w:tcW w:w="9450" w:type="dxa"/>
            <w:gridSpan w:val="2"/>
            <w:tcBorders>
              <w:top w:val="single" w:sz="4" w:space="0" w:color="auto"/>
              <w:bottom w:val="single" w:sz="4" w:space="0" w:color="auto"/>
            </w:tcBorders>
          </w:tcPr>
          <w:p w:rsidR="00CF27A6" w:rsidRDefault="00CF27A6" w:rsidP="00C5694D">
            <w:pPr>
              <w:pStyle w:val="TableText"/>
              <w:spacing w:before="40" w:after="40"/>
              <w:jc w:val="center"/>
              <w:rPr>
                <w:rFonts w:ascii="Times New Roman" w:hAnsi="Times New Roman"/>
                <w:b/>
                <w:sz w:val="18"/>
                <w:szCs w:val="18"/>
              </w:rPr>
            </w:pPr>
            <w:r w:rsidRPr="00540DDC">
              <w:rPr>
                <w:rFonts w:ascii="Times New Roman" w:hAnsi="Times New Roman"/>
                <w:b/>
                <w:sz w:val="18"/>
                <w:szCs w:val="18"/>
              </w:rPr>
              <w:lastRenderedPageBreak/>
              <w:t>NORTH AMERICAN ENERGY STANDARDS BOARD</w:t>
            </w:r>
            <w:r w:rsidRPr="00540DDC">
              <w:rPr>
                <w:rFonts w:ascii="Times New Roman" w:hAnsi="Times New Roman"/>
                <w:b/>
                <w:sz w:val="18"/>
                <w:szCs w:val="18"/>
              </w:rPr>
              <w:br/>
              <w:t>2011 ANNUAL PLAN for the WHOLESALE ELECTRIC QUADRANT</w:t>
            </w:r>
            <w:r w:rsidRPr="00540DDC">
              <w:rPr>
                <w:rFonts w:ascii="Times New Roman" w:hAnsi="Times New Roman"/>
                <w:b/>
                <w:sz w:val="18"/>
                <w:szCs w:val="18"/>
              </w:rPr>
              <w:br/>
            </w:r>
            <w:r>
              <w:rPr>
                <w:rFonts w:ascii="Times New Roman" w:hAnsi="Times New Roman"/>
                <w:b/>
                <w:sz w:val="18"/>
                <w:szCs w:val="18"/>
              </w:rPr>
              <w:t>Approved</w:t>
            </w:r>
            <w:r w:rsidRPr="00540DDC">
              <w:rPr>
                <w:rFonts w:ascii="Times New Roman" w:hAnsi="Times New Roman"/>
                <w:b/>
                <w:sz w:val="18"/>
                <w:szCs w:val="18"/>
              </w:rPr>
              <w:t xml:space="preserve"> by the Board of Directors on </w:t>
            </w:r>
            <w:r w:rsidR="00C5694D">
              <w:rPr>
                <w:rFonts w:ascii="Times New Roman" w:hAnsi="Times New Roman"/>
                <w:b/>
                <w:sz w:val="18"/>
                <w:szCs w:val="18"/>
              </w:rPr>
              <w:t>September 22</w:t>
            </w:r>
            <w:r>
              <w:rPr>
                <w:rFonts w:ascii="Times New Roman" w:hAnsi="Times New Roman"/>
                <w:b/>
                <w:sz w:val="18"/>
                <w:szCs w:val="18"/>
              </w:rPr>
              <w:t>, 2011</w:t>
            </w:r>
          </w:p>
        </w:tc>
      </w:tr>
      <w:tr w:rsidR="00CF27A6" w:rsidRPr="00540DDC" w:rsidTr="00A00E7D">
        <w:trPr>
          <w:cantSplit/>
          <w:tblHeader/>
        </w:trPr>
        <w:tc>
          <w:tcPr>
            <w:tcW w:w="9450" w:type="dxa"/>
            <w:gridSpan w:val="2"/>
            <w:tcBorders>
              <w:top w:val="single" w:sz="4" w:space="0" w:color="auto"/>
              <w:bottom w:val="single" w:sz="4" w:space="0" w:color="auto"/>
            </w:tcBorders>
          </w:tcPr>
          <w:p w:rsidR="00CF27A6" w:rsidRPr="001D3F81" w:rsidRDefault="00CF27A6" w:rsidP="00C5694D">
            <w:pPr>
              <w:pStyle w:val="BodyTextIndent3"/>
              <w:keepNext/>
              <w:tabs>
                <w:tab w:val="left" w:pos="6336"/>
              </w:tabs>
              <w:spacing w:before="40" w:after="40"/>
              <w:ind w:left="144"/>
              <w:rPr>
                <w:b/>
                <w:sz w:val="18"/>
                <w:szCs w:val="18"/>
              </w:rPr>
            </w:pPr>
            <w:r w:rsidRPr="001D3F81">
              <w:rPr>
                <w:b/>
                <w:sz w:val="18"/>
                <w:szCs w:val="18"/>
              </w:rPr>
              <w:t>PROVISIONAL ITEMS</w:t>
            </w:r>
            <w:bookmarkStart w:id="4" w:name="_GoBack"/>
            <w:bookmarkEnd w:id="4"/>
          </w:p>
        </w:tc>
      </w:tr>
      <w:tr w:rsidR="00CF27A6" w:rsidRPr="00540DDC">
        <w:trPr>
          <w:cantSplit/>
        </w:trPr>
        <w:tc>
          <w:tcPr>
            <w:tcW w:w="630" w:type="dxa"/>
            <w:tcBorders>
              <w:top w:val="nil"/>
              <w:bottom w:val="nil"/>
            </w:tcBorders>
          </w:tcPr>
          <w:p w:rsidR="00CF27A6" w:rsidRPr="00540DDC" w:rsidRDefault="00CF27A6"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color w:val="auto"/>
                <w:sz w:val="18"/>
                <w:szCs w:val="18"/>
              </w:rPr>
              <w:t>1</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 xml:space="preserve">Develop and or modify business practices related to support of NERC effort on the NERC Resources and Transmission Adequacy (Project 2009-05 Resource Adequacy Assessment). </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2</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 xml:space="preserve">Develop business practices for allocating capacity among requests received during a submittal window Order 890-A </w:t>
            </w:r>
            <w:hyperlink r:id="rId24" w:history="1">
              <w:r w:rsidRPr="001D3F81">
                <w:rPr>
                  <w:rStyle w:val="Hyperlink"/>
                  <w:sz w:val="18"/>
                  <w:szCs w:val="18"/>
                </w:rPr>
                <w:t>(Docket Nos. RM05-17-001, 002 and RM05-25-001, 002</w:t>
              </w:r>
            </w:hyperlink>
            <w:r w:rsidRPr="001D3F81">
              <w:rPr>
                <w:sz w:val="18"/>
                <w:szCs w:val="18"/>
              </w:rPr>
              <w:t xml:space="preserve"> - Paragraph 805)</w:t>
            </w:r>
            <w:r w:rsidRPr="001D3F81">
              <w:rPr>
                <w:rStyle w:val="FootnoteReference"/>
                <w:sz w:val="18"/>
                <w:szCs w:val="18"/>
              </w:rPr>
              <w:footnoteReference w:id="10"/>
            </w:r>
            <w:r w:rsidRPr="001D3F81">
              <w:rPr>
                <w:sz w:val="18"/>
                <w:szCs w:val="18"/>
              </w:rPr>
              <w:t>.</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3</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any needed NAESB action in support of the Interchange Distribution Calculator (IDC) and develop any necessary standards.</w:t>
            </w:r>
          </w:p>
        </w:tc>
      </w:tr>
      <w:tr w:rsidR="00CF27A6" w:rsidRPr="00540DDC">
        <w:trPr>
          <w:cantSplit/>
        </w:trPr>
        <w:tc>
          <w:tcPr>
            <w:tcW w:w="630" w:type="dxa"/>
            <w:tcBorders>
              <w:top w:val="nil"/>
              <w:bottom w:val="nil"/>
            </w:tcBorders>
          </w:tcPr>
          <w:p w:rsidR="00CF27A6" w:rsidRPr="00540DDC" w:rsidDel="00C017E5"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4</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Prepare recommendations for future path for TLR</w:t>
            </w:r>
            <w:r w:rsidRPr="001D3F81">
              <w:rPr>
                <w:rStyle w:val="FootnoteReference"/>
                <w:sz w:val="18"/>
                <w:szCs w:val="18"/>
              </w:rPr>
              <w:footnoteReference w:id="11"/>
            </w:r>
            <w:r w:rsidRPr="001D3F81">
              <w:rPr>
                <w:sz w:val="18"/>
                <w:szCs w:val="18"/>
              </w:rPr>
              <w:t xml:space="preserve"> (Phase 2) in concert with NERC, which may include alternative congestion management procedures</w:t>
            </w:r>
            <w:r w:rsidRPr="001D3F81">
              <w:rPr>
                <w:rStyle w:val="EndnoteReference"/>
                <w:sz w:val="18"/>
                <w:szCs w:val="18"/>
              </w:rPr>
              <w:endnoteReference w:id="4"/>
            </w:r>
            <w:r w:rsidRPr="001D3F81">
              <w:rPr>
                <w:sz w:val="18"/>
                <w:szCs w:val="18"/>
              </w:rPr>
              <w:t>.  Work on this activity is dependent on completing 2010 WEQ Annual Plan 1.a (Parallel Flow Visualization/Mitigation for Reliability Coordinators in the Eastern Interconnection  - Phase 1).</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5</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complementary standards that align with NERC Project 2008-01 Voltage and Reactive Control, for which a white paper is expected after the SAR is authorized to proceed by the NERC Standards Committee.</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6</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Determine NAESB action needed to support FERC Action Plan for Smart Grid Technology.</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7</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 xml:space="preserve">Develop business practice standards for cap and trade programs for greenhouse gas </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8</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Conduct assessment to determine if Electric Industry Requirements documented in WEQ-011 Gas / Electric Coordination should be considered reliability requirements and transition to NERC.</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9</w:t>
            </w:r>
          </w:p>
        </w:tc>
        <w:tc>
          <w:tcPr>
            <w:tcW w:w="8820" w:type="dxa"/>
            <w:tcBorders>
              <w:top w:val="nil"/>
              <w:bottom w:val="nil"/>
            </w:tcBorders>
          </w:tcPr>
          <w:p w:rsidR="00CF27A6" w:rsidRPr="001D3F81" w:rsidRDefault="00CF27A6" w:rsidP="005B63E2">
            <w:pPr>
              <w:pStyle w:val="Signature"/>
              <w:spacing w:before="40" w:after="40"/>
              <w:ind w:left="144"/>
              <w:rPr>
                <w:sz w:val="18"/>
                <w:szCs w:val="18"/>
              </w:rPr>
            </w:pPr>
            <w:r w:rsidRPr="001D3F81">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10</w:t>
            </w:r>
          </w:p>
        </w:tc>
        <w:tc>
          <w:tcPr>
            <w:tcW w:w="8820" w:type="dxa"/>
            <w:tcBorders>
              <w:top w:val="nil"/>
              <w:bottom w:val="nil"/>
            </w:tcBorders>
          </w:tcPr>
          <w:p w:rsidR="00CF27A6" w:rsidRPr="00540DDC" w:rsidRDefault="00CF27A6" w:rsidP="005B63E2">
            <w:pPr>
              <w:spacing w:before="40" w:after="40"/>
              <w:ind w:left="158"/>
              <w:rPr>
                <w:iCs/>
                <w:sz w:val="18"/>
                <w:szCs w:val="18"/>
              </w:rPr>
            </w:pPr>
            <w:r w:rsidRPr="00540DDC">
              <w:rPr>
                <w:sz w:val="18"/>
                <w:szCs w:val="18"/>
              </w:rPr>
              <w:t>Review the need for, and develop standards where appropriate, in response to issues raised by FERC’s National Action Plan on Demand Response.</w:t>
            </w:r>
          </w:p>
        </w:tc>
      </w:tr>
      <w:tr w:rsidR="00CF27A6" w:rsidRPr="00540DDC">
        <w:trPr>
          <w:cantSplit/>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11</w:t>
            </w:r>
          </w:p>
        </w:tc>
        <w:tc>
          <w:tcPr>
            <w:tcW w:w="8820" w:type="dxa"/>
            <w:tcBorders>
              <w:top w:val="nil"/>
              <w:bottom w:val="nil"/>
            </w:tcBorders>
          </w:tcPr>
          <w:p w:rsidR="00CF27A6" w:rsidRPr="00540DDC" w:rsidRDefault="00CF27A6" w:rsidP="005B63E2">
            <w:pPr>
              <w:spacing w:before="40" w:after="40"/>
              <w:ind w:left="158"/>
              <w:rPr>
                <w:sz w:val="18"/>
                <w:szCs w:val="18"/>
              </w:rPr>
            </w:pPr>
            <w:r w:rsidRPr="00540DDC">
              <w:rPr>
                <w:sz w:val="18"/>
                <w:szCs w:val="18"/>
              </w:rPr>
              <w:t>Develop, modify or delete business practices to support Time Error and Inadvertent (BAL-004 and BAL-006) resulting from the NERC field test under NERC project (NERC Project 2010-14).</w:t>
            </w:r>
          </w:p>
        </w:tc>
      </w:tr>
      <w:tr w:rsidR="00CF27A6" w:rsidRPr="00540DDC" w:rsidTr="00D019E3">
        <w:trPr>
          <w:cantSplit/>
          <w:trHeight w:val="498"/>
        </w:trPr>
        <w:tc>
          <w:tcPr>
            <w:tcW w:w="630" w:type="dxa"/>
            <w:tcBorders>
              <w:top w:val="nil"/>
              <w:bottom w:val="nil"/>
            </w:tcBorders>
          </w:tcPr>
          <w:p w:rsidR="00CF27A6" w:rsidRPr="00540DDC" w:rsidRDefault="00CF27A6" w:rsidP="005B63E2">
            <w:pPr>
              <w:pStyle w:val="TableText"/>
              <w:spacing w:before="40" w:after="40"/>
              <w:ind w:left="144"/>
              <w:rPr>
                <w:rFonts w:ascii="Times New Roman" w:hAnsi="Times New Roman"/>
                <w:color w:val="auto"/>
                <w:sz w:val="18"/>
                <w:szCs w:val="18"/>
              </w:rPr>
            </w:pPr>
            <w:r w:rsidRPr="00540DDC">
              <w:rPr>
                <w:rFonts w:ascii="Times New Roman" w:hAnsi="Times New Roman"/>
                <w:color w:val="auto"/>
                <w:sz w:val="18"/>
                <w:szCs w:val="18"/>
              </w:rPr>
              <w:t>12.</w:t>
            </w:r>
          </w:p>
        </w:tc>
        <w:tc>
          <w:tcPr>
            <w:tcW w:w="8820" w:type="dxa"/>
            <w:tcBorders>
              <w:top w:val="nil"/>
              <w:bottom w:val="nil"/>
            </w:tcBorders>
          </w:tcPr>
          <w:p w:rsidR="00CF27A6" w:rsidRPr="00540DDC" w:rsidRDefault="00CF27A6" w:rsidP="005B63E2">
            <w:pPr>
              <w:spacing w:before="40" w:after="40"/>
              <w:ind w:left="158"/>
              <w:rPr>
                <w:sz w:val="18"/>
                <w:szCs w:val="18"/>
              </w:rPr>
            </w:pPr>
            <w:r w:rsidRPr="00540DDC">
              <w:rPr>
                <w:sz w:val="18"/>
                <w:szCs w:val="18"/>
              </w:rPr>
              <w:t>Coordinate standards development with the NERC Balancing Authority Reliability Based Controls Standards Drafting Team (BARCSDT- created in July 2010) regarding DCS and AGC (BAL-002 and BAL-005) which may require changes to NAESB WEQ standards.</w:t>
            </w:r>
          </w:p>
        </w:tc>
      </w:tr>
    </w:tbl>
    <w:p w:rsidR="00CF27A6" w:rsidRPr="00540DDC" w:rsidRDefault="00CF27A6" w:rsidP="00A23BDE">
      <w:pPr>
        <w:pStyle w:val="BodyText"/>
        <w:jc w:val="center"/>
        <w:rPr>
          <w:rFonts w:ascii="Bookman Old Style" w:hAnsi="Bookman Old Style"/>
        </w:rPr>
      </w:pPr>
    </w:p>
    <w:p w:rsidR="00CF27A6" w:rsidRPr="00540DDC" w:rsidRDefault="00CF27A6" w:rsidP="00707C40">
      <w:pPr>
        <w:pStyle w:val="BodyText"/>
        <w:spacing w:before="120" w:after="240"/>
        <w:jc w:val="center"/>
        <w:rPr>
          <w:rFonts w:ascii="Bookman Old Style" w:hAnsi="Bookman Old Style"/>
          <w:b/>
          <w:smallCaps/>
        </w:rPr>
      </w:pPr>
      <w:r w:rsidRPr="00540DDC">
        <w:rPr>
          <w:rFonts w:ascii="Bookman Old Style" w:hAnsi="Bookman Old Style"/>
        </w:rPr>
        <w:br w:type="page"/>
      </w:r>
      <w:r w:rsidRPr="00540DDC">
        <w:rPr>
          <w:rFonts w:ascii="Bookman Old Style" w:hAnsi="Bookman Old Style"/>
          <w:b/>
          <w:smallCaps/>
        </w:rPr>
        <w:lastRenderedPageBreak/>
        <w:t>Wholesale Electric Quadrant Executive committee and Subcommittee Structure</w:t>
      </w:r>
    </w:p>
    <w:p w:rsidR="00CF27A6" w:rsidRPr="00540DDC" w:rsidRDefault="00283280"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0"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 name="AutoShape 257"/>
                        <wps:cNvSpPr>
                          <a:spLocks noChangeAspect="1" noChangeArrowheads="1"/>
                        </wps:cNvSpPr>
                        <wps:spPr bwMode="auto">
                          <a:xfrm>
                            <a:off x="0" y="228600"/>
                            <a:ext cx="5943600" cy="420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50" cy="402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80" y="22860"/>
                            <a:ext cx="2280920" cy="323215"/>
                          </a:xfrm>
                          <a:prstGeom prst="roundRect">
                            <a:avLst>
                              <a:gd name="adj" fmla="val 16667"/>
                            </a:avLst>
                          </a:prstGeom>
                          <a:solidFill>
                            <a:srgbClr val="A7AFD5"/>
                          </a:solidFill>
                          <a:ln w="15875">
                            <a:solidFill>
                              <a:srgbClr val="000000"/>
                            </a:solidFill>
                            <a:round/>
                            <a:headEnd/>
                            <a:tailEnd/>
                          </a:ln>
                        </wps:spPr>
                        <wps:txbx>
                          <w:txbxContent>
                            <w:p w:rsidR="00CF27A6" w:rsidRPr="00401297" w:rsidRDefault="00CF27A6"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5" y="508000"/>
                            <a:ext cx="2728595" cy="321945"/>
                          </a:xfrm>
                          <a:prstGeom prst="roundRect">
                            <a:avLst>
                              <a:gd name="adj" fmla="val 16667"/>
                            </a:avLst>
                          </a:prstGeom>
                          <a:solidFill>
                            <a:srgbClr val="E9EDB1"/>
                          </a:solidFill>
                          <a:ln w="15875">
                            <a:solidFill>
                              <a:srgbClr val="000000"/>
                            </a:solidFill>
                            <a:round/>
                            <a:headEnd/>
                            <a:tailEnd/>
                          </a:ln>
                        </wps:spPr>
                        <wps:txbx>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20" y="1012190"/>
                            <a:ext cx="2722880" cy="321945"/>
                          </a:xfrm>
                          <a:prstGeom prst="roundRect">
                            <a:avLst>
                              <a:gd name="adj" fmla="val 16667"/>
                            </a:avLst>
                          </a:prstGeom>
                          <a:solidFill>
                            <a:srgbClr val="CCECFF"/>
                          </a:solidFill>
                          <a:ln w="15875">
                            <a:solidFill>
                              <a:srgbClr val="000000"/>
                            </a:solidFill>
                            <a:round/>
                            <a:headEnd/>
                            <a:tailEnd/>
                          </a:ln>
                        </wps:spPr>
                        <wps:txbx>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50" y="2007235"/>
                            <a:ext cx="2736850" cy="316865"/>
                          </a:xfrm>
                          <a:prstGeom prst="roundRect">
                            <a:avLst>
                              <a:gd name="adj" fmla="val 16667"/>
                            </a:avLst>
                          </a:prstGeom>
                          <a:solidFill>
                            <a:srgbClr val="CCECFF"/>
                          </a:solidFill>
                          <a:ln w="15875">
                            <a:solidFill>
                              <a:srgbClr val="000000"/>
                            </a:solidFill>
                            <a:round/>
                            <a:headEnd/>
                            <a:tailEnd/>
                          </a:ln>
                        </wps:spPr>
                        <wps:txbx>
                          <w:txbxContent>
                            <w:p w:rsidR="00CF27A6" w:rsidRPr="007A50B3" w:rsidRDefault="00CF27A6"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300" y="2508250"/>
                            <a:ext cx="2743200" cy="321945"/>
                          </a:xfrm>
                          <a:prstGeom prst="roundRect">
                            <a:avLst>
                              <a:gd name="adj" fmla="val 16667"/>
                            </a:avLst>
                          </a:prstGeom>
                          <a:solidFill>
                            <a:srgbClr val="CCECFF"/>
                          </a:solidFill>
                          <a:ln w="15875">
                            <a:solidFill>
                              <a:srgbClr val="000000"/>
                            </a:solidFill>
                            <a:round/>
                            <a:headEnd/>
                            <a:tailEnd/>
                          </a:ln>
                        </wps:spPr>
                        <wps:txbx>
                          <w:txbxContent>
                            <w:p w:rsidR="00CF27A6" w:rsidRDefault="00CF27A6"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5" y="392430"/>
                            <a:ext cx="936625" cy="521970"/>
                          </a:xfrm>
                          <a:prstGeom prst="rightArrow">
                            <a:avLst>
                              <a:gd name="adj1" fmla="val 50000"/>
                              <a:gd name="adj2" fmla="val 44860"/>
                            </a:avLst>
                          </a:prstGeom>
                          <a:solidFill>
                            <a:srgbClr val="E9EDB1"/>
                          </a:solidFill>
                          <a:ln w="9525">
                            <a:solidFill>
                              <a:srgbClr val="000000"/>
                            </a:solidFill>
                            <a:miter lim="800000"/>
                            <a:headEnd/>
                            <a:tailEnd/>
                          </a:ln>
                        </wps:spPr>
                        <wps:txbx>
                          <w:txbxContent>
                            <w:p w:rsidR="00CF27A6" w:rsidRDefault="00CF27A6"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60" cy="3086100"/>
                          </a:xfrm>
                          <a:prstGeom prst="rightBrace">
                            <a:avLst>
                              <a:gd name="adj1" fmla="val 9289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2714625" cy="247650"/>
                          </a:xfrm>
                          <a:prstGeom prst="rect">
                            <a:avLst/>
                          </a:prstGeom>
                          <a:solidFill>
                            <a:srgbClr val="B2DAB0"/>
                          </a:solidFill>
                          <a:ln w="15875">
                            <a:solidFill>
                              <a:srgbClr val="000000"/>
                            </a:solidFill>
                            <a:miter lim="800000"/>
                            <a:headEnd/>
                            <a:tailEnd/>
                          </a:ln>
                        </wps:spPr>
                        <wps:txbx>
                          <w:txbxContent>
                            <w:p w:rsidR="00CF27A6" w:rsidRDefault="00CF27A6"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60"/>
                          </a:xfrm>
                          <a:prstGeom prst="rightArrow">
                            <a:avLst>
                              <a:gd name="adj1" fmla="val 50000"/>
                              <a:gd name="adj2" fmla="val 37431"/>
                            </a:avLst>
                          </a:prstGeom>
                          <a:solidFill>
                            <a:srgbClr val="CCECFF"/>
                          </a:solidFill>
                          <a:ln w="9525">
                            <a:solidFill>
                              <a:srgbClr val="000000"/>
                            </a:solidFill>
                            <a:miter lim="800000"/>
                            <a:headEnd/>
                            <a:tailEnd/>
                          </a:ln>
                        </wps:spPr>
                        <wps:txbx>
                          <w:txbxContent>
                            <w:p w:rsidR="00CF27A6" w:rsidRDefault="00CF27A6"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50" y="3041650"/>
                            <a:ext cx="2748915" cy="321945"/>
                          </a:xfrm>
                          <a:prstGeom prst="roundRect">
                            <a:avLst>
                              <a:gd name="adj" fmla="val 16667"/>
                            </a:avLst>
                          </a:prstGeom>
                          <a:solidFill>
                            <a:srgbClr val="CCECFF"/>
                          </a:solidFill>
                          <a:ln w="15875">
                            <a:solidFill>
                              <a:srgbClr val="000000"/>
                            </a:solidFill>
                            <a:round/>
                            <a:headEnd/>
                            <a:tailEnd/>
                          </a:ln>
                        </wps:spPr>
                        <wps:txbx>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2755265" cy="321945"/>
                          </a:xfrm>
                          <a:prstGeom prst="roundRect">
                            <a:avLst>
                              <a:gd name="adj" fmla="val 16667"/>
                            </a:avLst>
                          </a:prstGeom>
                          <a:solidFill>
                            <a:srgbClr val="CCECFF"/>
                          </a:solidFill>
                          <a:ln w="15875">
                            <a:solidFill>
                              <a:srgbClr val="000000"/>
                            </a:solidFill>
                            <a:round/>
                            <a:headEnd/>
                            <a:tailEnd/>
                          </a:ln>
                        </wps:spPr>
                        <wps:txbx>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wps:txbx>
                        <wps:bodyPr rot="0" vert="horz" wrap="square" lIns="0" tIns="0" rIns="0" bIns="0" anchor="ctr" anchorCtr="0" upright="1">
                          <a:noAutofit/>
                        </wps:bodyPr>
                      </wps:wsp>
                      <wps:wsp>
                        <wps:cNvPr id="18" name="AutoShape 270"/>
                        <wps:cNvCnPr>
                          <a:cxnSpLocks noChangeShapeType="1"/>
                          <a:stCxn id="15" idx="1"/>
                        </wps:cNvCnPr>
                        <wps:spPr bwMode="auto">
                          <a:xfrm rot="10800000">
                            <a:off x="2057400" y="800100"/>
                            <a:ext cx="335280" cy="3818890"/>
                          </a:xfrm>
                          <a:prstGeom prst="bentConnector2">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Line 271"/>
                        <wps:cNvCnPr/>
                        <wps:spPr bwMode="auto">
                          <a:xfrm flipH="1">
                            <a:off x="2057400" y="32004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2"/>
                        <wps:cNvCnPr/>
                        <wps:spPr bwMode="auto">
                          <a:xfrm flipH="1">
                            <a:off x="2057400" y="2673350"/>
                            <a:ext cx="35242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3"/>
                        <wps:cNvCnPr/>
                        <wps:spPr bwMode="auto">
                          <a:xfrm flipH="1">
                            <a:off x="2057400" y="2152650"/>
                            <a:ext cx="35242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Line 274"/>
                        <wps:cNvCnPr/>
                        <wps:spPr bwMode="auto">
                          <a:xfrm flipH="1">
                            <a:off x="2057400" y="685800"/>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5"/>
                        <wps:cNvCnPr/>
                        <wps:spPr bwMode="auto">
                          <a:xfrm flipH="1">
                            <a:off x="2057400" y="1661795"/>
                            <a:ext cx="3810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6"/>
                        <wps:cNvSpPr>
                          <a:spLocks noChangeArrowheads="1"/>
                        </wps:cNvSpPr>
                        <wps:spPr bwMode="auto">
                          <a:xfrm>
                            <a:off x="2404745" y="1490980"/>
                            <a:ext cx="2719705" cy="321945"/>
                          </a:xfrm>
                          <a:prstGeom prst="roundRect">
                            <a:avLst>
                              <a:gd name="adj" fmla="val 16667"/>
                            </a:avLst>
                          </a:prstGeom>
                          <a:solidFill>
                            <a:srgbClr val="CCECFF"/>
                          </a:solidFill>
                          <a:ln w="15875">
                            <a:solidFill>
                              <a:srgbClr val="000000"/>
                            </a:solidFill>
                            <a:round/>
                            <a:headEnd/>
                            <a:tailEnd/>
                          </a:ln>
                        </wps:spPr>
                        <wps:txbx>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5" name="Line 277"/>
                        <wps:cNvCnPr/>
                        <wps:spPr bwMode="auto">
                          <a:xfrm flipH="1">
                            <a:off x="2061845" y="1191895"/>
                            <a:ext cx="3708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8"/>
                        <wps:cNvSpPr>
                          <a:spLocks noChangeArrowheads="1"/>
                        </wps:cNvSpPr>
                        <wps:spPr bwMode="auto">
                          <a:xfrm>
                            <a:off x="2400300" y="35433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CF27A6" w:rsidRDefault="00CF27A6" w:rsidP="00C7062B">
                              <w:pPr>
                                <w:autoSpaceDE w:val="0"/>
                                <w:autoSpaceDN w:val="0"/>
                                <w:adjustRightInd w:val="0"/>
                                <w:jc w:val="center"/>
                                <w:rPr>
                                  <w:color w:val="000000"/>
                                  <w:sz w:val="8"/>
                                  <w:szCs w:val="8"/>
                                </w:rPr>
                              </w:pPr>
                            </w:p>
                            <w:p w:rsidR="00CF27A6" w:rsidRPr="00DC57C9" w:rsidRDefault="00CF27A6"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7" name="Line 279"/>
                        <wps:cNvCnPr/>
                        <wps:spPr bwMode="auto">
                          <a:xfrm flipH="1">
                            <a:off x="2057400" y="36576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0"/>
                        <wps:cNvSpPr>
                          <a:spLocks noChangeArrowheads="1"/>
                        </wps:cNvSpPr>
                        <wps:spPr bwMode="auto">
                          <a:xfrm>
                            <a:off x="2400300" y="4000500"/>
                            <a:ext cx="2755265" cy="321945"/>
                          </a:xfrm>
                          <a:prstGeom prst="roundRect">
                            <a:avLst>
                              <a:gd name="adj" fmla="val 16667"/>
                            </a:avLst>
                          </a:prstGeom>
                          <a:solidFill>
                            <a:srgbClr val="33CCCC">
                              <a:alpha val="23000"/>
                            </a:srgbClr>
                          </a:solidFill>
                          <a:ln w="15875" cap="rnd">
                            <a:solidFill>
                              <a:srgbClr val="000000"/>
                            </a:solidFill>
                            <a:prstDash val="sysDot"/>
                            <a:round/>
                            <a:headEnd/>
                            <a:tailEnd/>
                          </a:ln>
                        </wps:spPr>
                        <wps:txbx>
                          <w:txbxContent>
                            <w:p w:rsidR="00CF27A6" w:rsidRPr="00C7062B" w:rsidRDefault="00CF27A6"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9" name="Line 281"/>
                        <wps:cNvCnPr/>
                        <wps:spPr bwMode="auto">
                          <a:xfrm flipH="1">
                            <a:off x="2057400" y="4114800"/>
                            <a:ext cx="333375" cy="12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CF27A6" w:rsidRPr="00401297" w:rsidRDefault="00CF27A6"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2728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27229;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27369;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CF27A6" w:rsidRPr="007A50B3" w:rsidRDefault="00CF27A6"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3;top:25082;width:2743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CF27A6" w:rsidRDefault="00CF27A6"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52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0KUcUA&#10;AADbAAAADwAAAGRycy9kb3ducmV2LnhtbESPQWsCMRCF74L/IYzQm2Z3D6WsRpEtgi09tLbqddiM&#10;ydLNZNlE3fbXNwXB2wzvfW/eLFaDa8WF+tB4VpDPMhDEtdcNGwVfn5vpE4gQkTW2nknBDwVYLcej&#10;BZbaX/mDLrtoRArhUKICG2NXShlqSw7DzHfESTv53mFMa2+k7vGawl0riyx7lA4bThcsdlRZqr93&#10;Z5dqNOejORSueulCu3/LX3/frXlW6mEyrOcgIg3xbr7RW524Av5/SQP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QpRxQAAANsAAAAPAAAAAAAAAAAAAAAAAJgCAABkcnMv&#10;ZG93bnJldi54bWxQSwUGAAAAAAQABAD1AAAAigMAAAAA&#10;" fillcolor="#e9edb1">
                  <v:textbox inset="1.64083mm,.82042mm,1.64083mm,.82042mm">
                    <w:txbxContent>
                      <w:p w:rsidR="00CF27A6" w:rsidRDefault="00CF27A6" w:rsidP="00C7062B">
                        <w:pPr>
                          <w:autoSpaceDE w:val="0"/>
                          <w:autoSpaceDN w:val="0"/>
                          <w:adjustRightInd w:val="0"/>
                          <w:spacing w:before="160"/>
                          <w:jc w:val="center"/>
                          <w:rPr>
                            <w:rFonts w:ascii="Arial" w:cs="Arial"/>
                            <w:color w:val="000000"/>
                            <w:sz w:val="36"/>
                            <w:szCs w:val="36"/>
                          </w:rPr>
                        </w:pPr>
                        <w:r>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27146;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CF27A6" w:rsidRDefault="00CF27A6"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CF27A6" w:rsidRDefault="00CF27A6" w:rsidP="00C7062B">
                        <w:pPr>
                          <w:autoSpaceDE w:val="0"/>
                          <w:autoSpaceDN w:val="0"/>
                          <w:adjustRightInd w:val="0"/>
                          <w:spacing w:before="16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2748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E-Tariff Joint WEQ/WGQ Subcommittee</w:t>
                        </w:r>
                      </w:p>
                    </w:txbxContent>
                  </v:textbox>
                </v:roundrect>
                <v:roundrect id="AutoShape 269" o:spid="_x0000_s1040" style="position:absolute;left:24003;top:44577;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DSM-EE Retail/WEQ Subcommittee</w:t>
                        </w:r>
                      </w:p>
                    </w:txbxContent>
                  </v:textbox>
                </v:roundrect>
                <v:shapetype id="_x0000_t33" coordsize="21600,21600" o:spt="33" o:oned="t" path="m,l21600,r,21600e" filled="f">
                  <v:stroke joinstyle="miter"/>
                  <v:path arrowok="t" fillok="f" o:connecttype="none"/>
                  <o:lock v:ext="edit" shapetype="t"/>
                </v:shapetype>
                <v:shape id="AutoShape 270" o:spid="_x0000_s1041" type="#_x0000_t33" style="position:absolute;left:20574;top:8001;width:3352;height:38188;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410MUAAADbAAAADwAAAGRycy9kb3ducmV2LnhtbESPQWvCQBCF70L/wzKF3sxGodWmrpIq&#10;ioJQtD30OGSnSTA7G7JbTf31zkHobYb35r1vZoveNepMXag9GxglKSjiwtuaSwNfn+vhFFSIyBYb&#10;z2TgjwIs5g+DGWbWX/hA52MslYRwyNBAFWObaR2KihyGxLfEov34zmGUtSu17fAi4a7R4zR90Q5r&#10;loYKW1pWVJyOv87A/vW7+Rgvr5vJfkU6uvx5lb/vjHl67PM3UJH6+G++X2+t4Aus/CID6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0410MUAAADbAAAADwAAAAAAAAAA&#10;AAAAAAChAgAAZHJzL2Rvd25yZXYueG1sUEsFBgAAAAAEAAQA+QAAAJMDAAAAAA==&#10;" strokeweight="1.5pt"/>
                <v:line id="Line 271" o:spid="_x0000_s1042"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2" o:spid="_x0000_s1043"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3" o:spid="_x0000_s1044"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line id="Line 274" o:spid="_x0000_s1045" style="position:absolute;flip:x;visibility:visible;mso-wrap-style:square" from="20574,6858" to="24384,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fvJcIAAADbAAAADwAAAGRycy9kb3ducmV2LnhtbESPT4vCMBTE7wt+h/AEb2tqDyLVKCII&#10;ynpY/4DXR/PaFJuXkkTb/fabhQWPw8z8hlltBtuKF/nQOFYwm2YgiEunG64V3K77zwWIEJE1to5J&#10;wQ8F2KxHHysstOv5TK9LrEWCcChQgYmxK6QMpSGLYeo64uRVzluMSfpaao99gttW5lk2lxYbTgsG&#10;O9oZKh+Xp1Ugj1/9t9/nt6quDp27H81p3g9KTcbDdgki0hDf4f/2QSvIc/j7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fvJcIAAADbAAAADwAAAAAAAAAAAAAA&#10;AAChAgAAZHJzL2Rvd25yZXYueG1sUEsFBgAAAAAEAAQA+QAAAJADAAAAAA==&#10;" strokeweight="1.5pt"/>
                <v:line id="Line 275" o:spid="_x0000_s1046"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6" o:spid="_x0000_s1047" style="position:absolute;left:24047;top:14909;width:27197;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tbjMIA&#10;AADbAAAADwAAAGRycy9kb3ducmV2LnhtbESPW4vCMBSE3xf8D+EI+7amirhSTYsoyiILixfw9dCc&#10;XrA5qU3U+u83guDjMDPfMPO0M7W4UesqywqGgwgEcWZ1xYWC42H9NQXhPLLG2jIpeJCDNOl9zDHW&#10;9s47uu19IQKEXYwKSu+bWEqXlWTQDWxDHLzctgZ9kG0hdYv3ADe1HEXRRBqsOCyU2NCypOy8vxoF&#10;l9NvjlYuj48/XtHme0rjfEtKffa7xQyEp86/w6/2j1YwGsPzS/gBM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61uMwgAAANsAAAAPAAAAAAAAAAAAAAAAAJgCAABkcnMvZG93&#10;bnJldi54bWxQSwUGAAAAAAQABAD1AAAAhwMAAAAA&#10;" fillcolor="#ccecff" strokeweight="1.25pt">
                  <v:textbox inset="0,0,0,0">
                    <w:txbxContent>
                      <w:p w:rsidR="00CF27A6" w:rsidRDefault="00CF27A6" w:rsidP="00C7062B">
                        <w:pPr>
                          <w:autoSpaceDE w:val="0"/>
                          <w:autoSpaceDN w:val="0"/>
                          <w:adjustRightInd w:val="0"/>
                          <w:jc w:val="center"/>
                          <w:rPr>
                            <w:color w:val="000000"/>
                            <w:sz w:val="8"/>
                            <w:szCs w:val="8"/>
                          </w:rPr>
                        </w:pPr>
                      </w:p>
                      <w:p w:rsidR="00CF27A6" w:rsidRDefault="00CF27A6"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8"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78" o:spid="_x0000_s1049" style="position:absolute;left:24003;top:35433;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CF27A6" w:rsidRDefault="00CF27A6" w:rsidP="00C7062B">
                        <w:pPr>
                          <w:autoSpaceDE w:val="0"/>
                          <w:autoSpaceDN w:val="0"/>
                          <w:adjustRightInd w:val="0"/>
                          <w:jc w:val="center"/>
                          <w:rPr>
                            <w:color w:val="000000"/>
                            <w:sz w:val="8"/>
                            <w:szCs w:val="8"/>
                          </w:rPr>
                        </w:pPr>
                      </w:p>
                      <w:p w:rsidR="00CF27A6" w:rsidRPr="00DC57C9" w:rsidRDefault="00CF27A6" w:rsidP="00C7062B">
                        <w:pPr>
                          <w:autoSpaceDE w:val="0"/>
                          <w:autoSpaceDN w:val="0"/>
                          <w:adjustRightInd w:val="0"/>
                          <w:jc w:val="center"/>
                          <w:rPr>
                            <w:rFonts w:ascii="Arial" w:cs="Arial"/>
                          </w:rPr>
                        </w:pP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0" style="position:absolute;flip:x;visibility:visible;mso-wrap-style:square" from="20574,36576" to="23907,36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roundrect id="AutoShape 280" o:spid="_x0000_s1051" style="position:absolute;left:24003;top:40005;width:27552;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lfr4A&#10;AADbAAAADwAAAGRycy9kb3ducmV2LnhtbERPy4rCMBTdC/5DuII7TS0ySjWKCDKzcDM+Fu4uzbUp&#10;NjelibX69WYhuDyc93Ld2Uq01PjSsYLJOAFBnDtdcqHgdNyN5iB8QNZYOSYFT/KwXvV7S8y0e/A/&#10;tYdQiBjCPkMFJoQ6k9Lnhiz6sauJI3d1jcUQYVNI3eAjhttKpknyIy2WHBsM1rQ1lN8Od6tgWp8t&#10;zS6vwuz2qUQ3bX+foVVqOOg2CxCBuvAVf9x/Wk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W5X6+AAAA2wAAAA8AAAAAAAAAAAAAAAAAmAIAAGRycy9kb3ducmV2&#10;LnhtbFBLBQYAAAAABAAEAPUAAACDAwAAAAA=&#10;" fillcolor="#3cc" strokeweight="1.25pt">
                  <v:fill opacity="15163f"/>
                  <v:stroke dashstyle="1 1" endcap="round"/>
                  <v:textbox inset="0,0,0,0">
                    <w:txbxContent>
                      <w:p w:rsidR="00CF27A6" w:rsidRPr="00C7062B" w:rsidRDefault="00CF27A6" w:rsidP="00C7062B">
                        <w:pPr>
                          <w:autoSpaceDE w:val="0"/>
                          <w:autoSpaceDN w:val="0"/>
                          <w:adjustRightInd w:val="0"/>
                          <w:spacing w:before="60"/>
                          <w:jc w:val="center"/>
                          <w:rPr>
                            <w:color w:val="000000"/>
                            <w:sz w:val="18"/>
                            <w:szCs w:val="18"/>
                          </w:rPr>
                        </w:pPr>
                        <w:r w:rsidRPr="00C7062B">
                          <w:rPr>
                            <w:color w:val="000000"/>
                            <w:sz w:val="18"/>
                            <w:szCs w:val="18"/>
                          </w:rPr>
                          <w:t>PAP 10 Smart Grid Standards Subcommittee (***)</w:t>
                        </w:r>
                      </w:p>
                    </w:txbxContent>
                  </v:textbox>
                </v:roundrect>
                <v:line id="Line 281" o:spid="_x0000_s1052" style="position:absolute;flip:x;visibility:visible;mso-wrap-style:square" from="20574,41148" to="23907,411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w10:anchorlock/>
              </v:group>
            </w:pict>
          </mc:Fallback>
        </mc:AlternateContent>
      </w:r>
    </w:p>
    <w:p w:rsidR="00CF27A6" w:rsidRPr="00540DDC" w:rsidRDefault="00CF27A6" w:rsidP="000A1E25">
      <w:pPr>
        <w:pStyle w:val="BodyText"/>
        <w:jc w:val="both"/>
        <w:rPr>
          <w:b/>
          <w:sz w:val="18"/>
          <w:szCs w:val="18"/>
        </w:rPr>
      </w:pPr>
    </w:p>
    <w:p w:rsidR="00CF27A6" w:rsidRPr="00540DDC" w:rsidRDefault="00CF27A6" w:rsidP="000A1E25">
      <w:pPr>
        <w:pStyle w:val="BodyText"/>
        <w:jc w:val="both"/>
        <w:rPr>
          <w:sz w:val="18"/>
          <w:szCs w:val="18"/>
        </w:rPr>
      </w:pPr>
      <w:r w:rsidRPr="00540DDC">
        <w:rPr>
          <w:b/>
          <w:sz w:val="18"/>
          <w:szCs w:val="18"/>
        </w:rPr>
        <w:t>NAESB WEQ EC and Subcommittee Leadership</w:t>
      </w:r>
      <w:r w:rsidRPr="00540DDC">
        <w:rPr>
          <w:sz w:val="18"/>
          <w:szCs w:val="18"/>
        </w:rPr>
        <w:t>:</w:t>
      </w:r>
    </w:p>
    <w:p w:rsidR="00CF27A6" w:rsidRPr="00540DDC" w:rsidRDefault="00CF27A6" w:rsidP="000A1E25">
      <w:pPr>
        <w:pStyle w:val="BodyText"/>
        <w:rPr>
          <w:sz w:val="18"/>
          <w:szCs w:val="18"/>
        </w:rPr>
      </w:pPr>
      <w:r w:rsidRPr="00540DDC">
        <w:rPr>
          <w:sz w:val="18"/>
          <w:szCs w:val="18"/>
        </w:rPr>
        <w:t>Executive Committee (EC):  Kathy York (Chair) and  James Castle (Vice Chair)</w:t>
      </w:r>
    </w:p>
    <w:p w:rsidR="00CF27A6" w:rsidRPr="00540DDC" w:rsidRDefault="00CF27A6" w:rsidP="000A1E25">
      <w:pPr>
        <w:pStyle w:val="BodyText"/>
        <w:ind w:left="720"/>
        <w:rPr>
          <w:sz w:val="18"/>
          <w:szCs w:val="18"/>
        </w:rPr>
      </w:pPr>
      <w:r w:rsidRPr="00540DDC">
        <w:rPr>
          <w:sz w:val="18"/>
          <w:szCs w:val="18"/>
        </w:rPr>
        <w:t>Standards Review Subcommittee (SRS):  Narinder Saini, Ed Skiba</w:t>
      </w:r>
    </w:p>
    <w:p w:rsidR="00CF27A6" w:rsidRPr="00540DDC" w:rsidRDefault="00CF27A6" w:rsidP="000A1E25">
      <w:pPr>
        <w:pStyle w:val="BodyText"/>
        <w:ind w:left="720"/>
        <w:rPr>
          <w:sz w:val="18"/>
          <w:szCs w:val="18"/>
        </w:rPr>
      </w:pPr>
      <w:r w:rsidRPr="00540DDC">
        <w:rPr>
          <w:sz w:val="18"/>
          <w:szCs w:val="18"/>
        </w:rPr>
        <w:t>Interpretations Subcommittee:   Ed Skiba</w:t>
      </w:r>
    </w:p>
    <w:p w:rsidR="00CF27A6" w:rsidRPr="00540DDC" w:rsidRDefault="00CF27A6" w:rsidP="000A1E25">
      <w:pPr>
        <w:pStyle w:val="BodyText"/>
        <w:ind w:left="720"/>
        <w:rPr>
          <w:sz w:val="18"/>
          <w:szCs w:val="18"/>
        </w:rPr>
      </w:pPr>
      <w:r w:rsidRPr="00540DDC">
        <w:rPr>
          <w:sz w:val="18"/>
          <w:szCs w:val="18"/>
        </w:rPr>
        <w:t>Business Practices Subcommittee (BPS) &amp; Time and Inadvertent Management Task Force (TIMTF): Ed Skiba , Narinder Saini</w:t>
      </w:r>
    </w:p>
    <w:p w:rsidR="00CF27A6" w:rsidRPr="00540DDC" w:rsidRDefault="00CF27A6" w:rsidP="000A1E25">
      <w:pPr>
        <w:pStyle w:val="BodyText"/>
        <w:ind w:left="720"/>
        <w:rPr>
          <w:sz w:val="18"/>
          <w:szCs w:val="18"/>
        </w:rPr>
      </w:pPr>
      <w:r w:rsidRPr="00540DDC">
        <w:rPr>
          <w:sz w:val="18"/>
          <w:szCs w:val="18"/>
        </w:rPr>
        <w:t>Open Access Same Time Information System (OASIS) Subcommittee (OS): Paul Sorenson, J.T. Wood, Alan Pritchard</w:t>
      </w:r>
    </w:p>
    <w:p w:rsidR="00CF27A6" w:rsidRPr="00540DDC" w:rsidRDefault="00CF27A6" w:rsidP="000A1E25">
      <w:pPr>
        <w:pStyle w:val="BodyText"/>
        <w:ind w:left="720"/>
        <w:rPr>
          <w:sz w:val="18"/>
          <w:szCs w:val="18"/>
        </w:rPr>
      </w:pPr>
      <w:r w:rsidRPr="00540DDC">
        <w:rPr>
          <w:sz w:val="18"/>
          <w:szCs w:val="18"/>
        </w:rPr>
        <w:t>Joint Electric Scheduling Subcommittee (JESS):  Bob Harshbarger (NAESB), Clint Aymond (NERC)</w:t>
      </w:r>
    </w:p>
    <w:p w:rsidR="00CF27A6" w:rsidRPr="00540DDC" w:rsidRDefault="00CF27A6" w:rsidP="000A1E25">
      <w:pPr>
        <w:pStyle w:val="BodyText"/>
        <w:ind w:left="720"/>
        <w:rPr>
          <w:sz w:val="18"/>
          <w:szCs w:val="18"/>
        </w:rPr>
      </w:pPr>
      <w:r w:rsidRPr="00540DDC">
        <w:rPr>
          <w:sz w:val="18"/>
          <w:szCs w:val="18"/>
        </w:rPr>
        <w:t>e-Tariff Joint WEQ/WGQ Subcommittee (e-Tariff):  Jane Daly (WEQ), Keith Sappenfield (WGQ)</w:t>
      </w:r>
    </w:p>
    <w:p w:rsidR="00CF27A6" w:rsidRPr="00540DDC" w:rsidRDefault="00CF27A6" w:rsidP="000A1E25">
      <w:pPr>
        <w:pStyle w:val="BodyText"/>
        <w:ind w:left="720"/>
        <w:rPr>
          <w:sz w:val="18"/>
          <w:szCs w:val="18"/>
        </w:rPr>
      </w:pPr>
      <w:r w:rsidRPr="00540DDC">
        <w:rPr>
          <w:sz w:val="18"/>
          <w:szCs w:val="18"/>
        </w:rPr>
        <w:t>Demand Side Management-Energy Efficiency (DSM-EE) REQ/WEQ Subcommittee: Ruth Kiselewich (R</w:t>
      </w:r>
      <w:r>
        <w:rPr>
          <w:sz w:val="18"/>
          <w:szCs w:val="18"/>
        </w:rPr>
        <w:t>etail</w:t>
      </w:r>
      <w:r w:rsidRPr="00540DDC">
        <w:rPr>
          <w:sz w:val="18"/>
          <w:szCs w:val="18"/>
        </w:rPr>
        <w:t>), Roy True and Paul Wattles (WEQ)</w:t>
      </w:r>
    </w:p>
    <w:p w:rsidR="00CF27A6" w:rsidRPr="00540DDC" w:rsidRDefault="00CF27A6" w:rsidP="00D41FE7">
      <w:pPr>
        <w:widowControl w:val="0"/>
        <w:spacing w:before="60"/>
        <w:rPr>
          <w:sz w:val="18"/>
          <w:szCs w:val="18"/>
        </w:rPr>
      </w:pPr>
      <w:r w:rsidRPr="00540DDC">
        <w:rPr>
          <w:sz w:val="18"/>
          <w:szCs w:val="18"/>
        </w:rPr>
        <w:t xml:space="preserve">(**)  The Smart Grid Standards Subcommittee is a joint group of the retail electric and wholesale electric quadrants with other standards development groups such as OASIS (Organization for the Advancement of Structured Information Standards, not Open </w:t>
      </w:r>
      <w:r w:rsidRPr="00540DDC">
        <w:rPr>
          <w:sz w:val="18"/>
          <w:szCs w:val="18"/>
        </w:rPr>
        <w:lastRenderedPageBreak/>
        <w:t xml:space="preserve">Access Same Time Information Systems related to NAESB standards and FERC actions), CalConnect, FIX and UCAIug, among others.  Direction may be given from NIST, DoE or FERC and the group reports jointly to the NAESB Board Smart Grid Strategic Steering Committee and the WEQ and REQ ECs.  The group is chaired by Joe Zhou, Wayne Longcore and Robert Burke. </w:t>
      </w:r>
    </w:p>
    <w:p w:rsidR="00CF27A6" w:rsidRPr="00BC22CB" w:rsidRDefault="00CF27A6" w:rsidP="00C7062B">
      <w:pPr>
        <w:widowControl w:val="0"/>
        <w:spacing w:before="60"/>
        <w:rPr>
          <w:sz w:val="18"/>
          <w:szCs w:val="18"/>
        </w:rPr>
      </w:pPr>
      <w:r w:rsidRPr="00540DDC">
        <w:rPr>
          <w:sz w:val="18"/>
          <w:szCs w:val="18"/>
        </w:rPr>
        <w:t>(***)  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The group is chaired by Phil Precht, Cathy Wesley, Sharon Dinges, David Kaufman, Brad Ramsay, Tobin Richardson and Ed Koch.</w:t>
      </w:r>
      <w:r>
        <w:rPr>
          <w:sz w:val="18"/>
          <w:szCs w:val="18"/>
        </w:rPr>
        <w:t xml:space="preserve"> </w:t>
      </w:r>
    </w:p>
    <w:p w:rsidR="00CF27A6" w:rsidRDefault="00CF27A6" w:rsidP="000A1E25">
      <w:pPr>
        <w:pStyle w:val="BodyText"/>
        <w:ind w:left="720"/>
        <w:rPr>
          <w:sz w:val="18"/>
          <w:szCs w:val="18"/>
        </w:rPr>
      </w:pPr>
    </w:p>
    <w:p w:rsidR="00CF27A6" w:rsidRDefault="00CF27A6" w:rsidP="000A1E25">
      <w:pPr>
        <w:pStyle w:val="BodyText"/>
        <w:ind w:left="720"/>
        <w:rPr>
          <w:sz w:val="18"/>
          <w:szCs w:val="18"/>
        </w:rPr>
        <w:sectPr w:rsidR="00CF27A6" w:rsidSect="008A655B">
          <w:headerReference w:type="default" r:id="rId25"/>
          <w:footerReference w:type="default" r:id="rId26"/>
          <w:headerReference w:type="first" r:id="rId27"/>
          <w:footerReference w:type="first" r:id="rId28"/>
          <w:endnotePr>
            <w:numFmt w:val="decimal"/>
          </w:endnotePr>
          <w:pgSz w:w="12240" w:h="15840" w:code="1"/>
          <w:pgMar w:top="720" w:right="1440" w:bottom="576" w:left="1440" w:header="720" w:footer="720" w:gutter="0"/>
          <w:cols w:space="720"/>
        </w:sectPr>
      </w:pPr>
    </w:p>
    <w:p w:rsidR="00CF27A6" w:rsidRDefault="00CF27A6" w:rsidP="00561AFD"/>
    <w:sectPr w:rsidR="00CF27A6" w:rsidSect="008A655B">
      <w:headerReference w:type="even" r:id="rId29"/>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12D" w:rsidRDefault="0075312D">
      <w:r>
        <w:separator/>
      </w:r>
    </w:p>
  </w:endnote>
  <w:endnote w:type="continuationSeparator" w:id="0">
    <w:p w:rsidR="0075312D" w:rsidRDefault="0075312D">
      <w:r>
        <w:continuationSeparator/>
      </w:r>
    </w:p>
  </w:endnote>
  <w:endnote w:id="1">
    <w:p w:rsidR="00CF27A6" w:rsidRDefault="00CF27A6" w:rsidP="00A23BDE">
      <w:pPr>
        <w:pStyle w:val="EndnoteText"/>
        <w:rPr>
          <w:b/>
          <w:sz w:val="18"/>
          <w:szCs w:val="18"/>
        </w:rPr>
      </w:pPr>
    </w:p>
    <w:p w:rsidR="00CF27A6" w:rsidRPr="00955550" w:rsidRDefault="00CF27A6" w:rsidP="00A23BDE">
      <w:pPr>
        <w:pStyle w:val="EndnoteText"/>
        <w:rPr>
          <w:b/>
          <w:sz w:val="18"/>
          <w:szCs w:val="18"/>
        </w:rPr>
      </w:pPr>
      <w:r w:rsidRPr="00955550">
        <w:rPr>
          <w:b/>
          <w:sz w:val="18"/>
          <w:szCs w:val="18"/>
        </w:rPr>
        <w:t>End Notes WEQ 20</w:t>
      </w:r>
      <w:r>
        <w:rPr>
          <w:b/>
          <w:sz w:val="18"/>
          <w:szCs w:val="18"/>
        </w:rPr>
        <w:t>11</w:t>
      </w:r>
      <w:r w:rsidRPr="00955550">
        <w:rPr>
          <w:b/>
          <w:sz w:val="18"/>
          <w:szCs w:val="18"/>
        </w:rPr>
        <w:t xml:space="preserve"> Annual Plan:</w:t>
      </w:r>
    </w:p>
    <w:p w:rsidR="00CF27A6" w:rsidRDefault="00CF27A6"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CF27A6" w:rsidRDefault="00CF27A6"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 w:id="3">
    <w:p w:rsidR="00CF27A6" w:rsidRDefault="00CF27A6" w:rsidP="00D41FE7">
      <w:pPr>
        <w:pStyle w:val="EndnoteText"/>
        <w:jc w:val="left"/>
      </w:pPr>
      <w:r w:rsidRPr="00D8037D">
        <w:rPr>
          <w:rStyle w:val="EndnoteReference"/>
          <w:sz w:val="18"/>
          <w:szCs w:val="18"/>
        </w:rPr>
        <w:endnoteRef/>
      </w:r>
      <w:r w:rsidRPr="00D8037D">
        <w:rPr>
          <w:sz w:val="18"/>
          <w:szCs w:val="18"/>
        </w:rPr>
        <w:t xml:space="preserve"> </w:t>
      </w:r>
      <w:r>
        <w:rPr>
          <w:sz w:val="18"/>
          <w:szCs w:val="18"/>
        </w:rPr>
        <w:t>Energy efficiency may be a wholesale product, such as capacity. Energy efficiency in retail markets may be</w:t>
      </w:r>
      <w:r w:rsidRPr="00D8037D">
        <w:rPr>
          <w:sz w:val="18"/>
          <w:szCs w:val="18"/>
        </w:rPr>
        <w:t xml:space="preserve"> from individual energy efficiency measures at the project level or a portfolio of projects that make up an energy efficiency program.</w:t>
      </w:r>
      <w:r>
        <w:rPr>
          <w:sz w:val="18"/>
          <w:szCs w:val="18"/>
        </w:rPr>
        <w:t xml:space="preserve"> </w:t>
      </w:r>
    </w:p>
  </w:endnote>
  <w:endnote w:id="4">
    <w:p w:rsidR="00CF27A6" w:rsidRDefault="00CF27A6" w:rsidP="00D41FE7">
      <w:pPr>
        <w:pStyle w:val="EndnoteText"/>
        <w:jc w:val="left"/>
      </w:pPr>
      <w:r w:rsidRPr="00955550">
        <w:rPr>
          <w:rStyle w:val="EndnoteReference"/>
          <w:sz w:val="18"/>
          <w:szCs w:val="18"/>
        </w:rPr>
        <w:endnoteRef/>
      </w:r>
      <w:r w:rsidRPr="00955550">
        <w:rPr>
          <w:sz w:val="18"/>
          <w:szCs w:val="18"/>
        </w:rPr>
        <w:t xml:space="preserve"> For additional information, please see comments submitted by PJM and M</w:t>
      </w:r>
      <w:r>
        <w:rPr>
          <w:sz w:val="18"/>
          <w:szCs w:val="18"/>
        </w:rPr>
        <w:t xml:space="preserve">idwest </w:t>
      </w:r>
      <w:r w:rsidRPr="00955550">
        <w:rPr>
          <w:sz w:val="18"/>
          <w:szCs w:val="18"/>
        </w:rPr>
        <w:t xml:space="preserve">ISO for this Annual Plan Item:  </w:t>
      </w:r>
      <w:hyperlink r:id="rId1" w:history="1">
        <w:r w:rsidRPr="00955550">
          <w:rPr>
            <w:rStyle w:val="Hyperlink"/>
            <w:sz w:val="18"/>
            <w:szCs w:val="18"/>
          </w:rPr>
          <w:t>http://www.naesb.org/pdf3/weq_aplan102907w1.pdf</w:t>
        </w:r>
      </w:hyperlink>
      <w:r w:rsidRPr="00955550">
        <w:rPr>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A6" w:rsidRDefault="00CF27A6" w:rsidP="00B515C7">
    <w:pPr>
      <w:pStyle w:val="Footer"/>
      <w:pBdr>
        <w:top w:val="single" w:sz="4" w:space="1" w:color="auto"/>
      </w:pBdr>
      <w:jc w:val="right"/>
      <w:rPr>
        <w:sz w:val="18"/>
        <w:szCs w:val="18"/>
      </w:rPr>
    </w:pPr>
    <w:r>
      <w:rPr>
        <w:sz w:val="18"/>
        <w:szCs w:val="18"/>
      </w:rPr>
      <w:t xml:space="preserve">2011 WEQ Annual </w:t>
    </w:r>
    <w:r w:rsidRPr="00EF1953">
      <w:rPr>
        <w:sz w:val="18"/>
        <w:szCs w:val="18"/>
      </w:rPr>
      <w:t xml:space="preserve">Plan </w:t>
    </w:r>
    <w:r>
      <w:rPr>
        <w:sz w:val="18"/>
        <w:szCs w:val="18"/>
      </w:rPr>
      <w:t>Approved by the Board of Directors</w:t>
    </w:r>
    <w:r w:rsidRPr="00EF1953">
      <w:rPr>
        <w:sz w:val="18"/>
        <w:szCs w:val="18"/>
      </w:rPr>
      <w:t xml:space="preserve"> on </w:t>
    </w:r>
    <w:r w:rsidR="00283280">
      <w:rPr>
        <w:sz w:val="18"/>
        <w:szCs w:val="18"/>
      </w:rPr>
      <w:t>September 22</w:t>
    </w:r>
    <w:r>
      <w:rPr>
        <w:sz w:val="18"/>
        <w:szCs w:val="18"/>
      </w:rPr>
      <w:t xml:space="preserve">, </w:t>
    </w:r>
    <w:r w:rsidR="00283280">
      <w:rPr>
        <w:sz w:val="18"/>
        <w:szCs w:val="18"/>
      </w:rPr>
      <w:t>2011</w:t>
    </w:r>
  </w:p>
  <w:p w:rsidR="00CF27A6" w:rsidRPr="00CA1D1F" w:rsidRDefault="00CF27A6"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C5694D">
      <w:rPr>
        <w:noProof/>
        <w:sz w:val="18"/>
        <w:szCs w:val="18"/>
      </w:rPr>
      <w:t>8</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C5694D">
      <w:rPr>
        <w:noProof/>
        <w:sz w:val="18"/>
        <w:szCs w:val="18"/>
      </w:rPr>
      <w:t>12</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A6" w:rsidRDefault="00CF27A6"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CF27A6" w:rsidRPr="00CA1D1F" w:rsidRDefault="00CF27A6" w:rsidP="002E59EC">
    <w:pPr>
      <w:pStyle w:val="Footer"/>
      <w:pBdr>
        <w:top w:val="single" w:sz="4" w:space="1" w:color="auto"/>
      </w:pBdr>
      <w:jc w:val="right"/>
      <w:rPr>
        <w:sz w:val="18"/>
        <w:szCs w:val="18"/>
      </w:rPr>
    </w:pPr>
    <w:r>
      <w:rPr>
        <w:sz w:val="18"/>
        <w:szCs w:val="18"/>
      </w:rPr>
      <w:t>With Redlined Changes Suggested by WEQ Leadership on July 17, 2009</w:t>
    </w:r>
  </w:p>
  <w:p w:rsidR="00CF27A6" w:rsidRPr="00CA1D1F" w:rsidRDefault="00CF27A6"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15</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12D" w:rsidRDefault="0075312D">
      <w:r>
        <w:separator/>
      </w:r>
    </w:p>
  </w:footnote>
  <w:footnote w:type="continuationSeparator" w:id="0">
    <w:p w:rsidR="0075312D" w:rsidRDefault="0075312D">
      <w:r>
        <w:continuationSeparator/>
      </w:r>
    </w:p>
  </w:footnote>
  <w:footnote w:id="1">
    <w:p w:rsidR="00CF27A6" w:rsidRDefault="00CF27A6" w:rsidP="00D019E3">
      <w:pPr>
        <w:pStyle w:val="FootnoteText"/>
        <w:jc w:val="left"/>
      </w:pPr>
      <w:r w:rsidRPr="000D1C66">
        <w:rPr>
          <w:rStyle w:val="FootnoteReference"/>
          <w:rFonts w:ascii="Times New Roman" w:hAnsi="Times New Roman"/>
          <w:sz w:val="18"/>
          <w:szCs w:val="18"/>
        </w:rPr>
        <w:footnoteRef/>
      </w:r>
      <w:r w:rsidRPr="000D1C66">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CF27A6" w:rsidRDefault="00CF27A6"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http://www.naesb.org/doc_view4.asp?doc=ferc021607.doc</w:t>
      </w:r>
    </w:p>
  </w:footnote>
  <w:footnote w:id="3">
    <w:p w:rsidR="00CF27A6" w:rsidRDefault="00CF27A6"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4">
    <w:p w:rsidR="00CF27A6" w:rsidRDefault="00CF27A6" w:rsidP="00B03231">
      <w:pPr>
        <w:pStyle w:val="FERCparanumber"/>
        <w:numPr>
          <w:ilvl w:val="0"/>
          <w:numId w:val="0"/>
        </w:numPr>
        <w:spacing w:line="240" w:lineRule="auto"/>
      </w:pPr>
      <w:r>
        <w:rPr>
          <w:rStyle w:val="FootnoteReference"/>
        </w:rPr>
        <w:footnoteRef/>
      </w:r>
      <w:r>
        <w:t xml:space="preserve"> </w:t>
      </w:r>
      <w:r w:rsidRPr="00B03231">
        <w:rPr>
          <w:sz w:val="18"/>
          <w:szCs w:val="18"/>
        </w:rPr>
        <w:t xml:space="preserve">Paragraph 1377 of FERC Order No. 890, issued </w:t>
      </w:r>
      <w:r>
        <w:rPr>
          <w:sz w:val="18"/>
          <w:szCs w:val="18"/>
        </w:rPr>
        <w:t>February 16, 2007</w:t>
      </w:r>
      <w:r w:rsidRPr="00B03231">
        <w:rPr>
          <w:sz w:val="18"/>
          <w:szCs w:val="18"/>
        </w:rPr>
        <w:t xml:space="preserve">: The Commission agrees that transmission requests across multiple transmission systems should be coordinated by the relevant transmission providers.  We will not, however, amend the </w:t>
      </w:r>
      <w:r w:rsidRPr="00B03231">
        <w:rPr>
          <w:sz w:val="18"/>
          <w:szCs w:val="18"/>
          <w:u w:val="single"/>
        </w:rPr>
        <w:t>pro forma</w:t>
      </w:r>
      <w:r w:rsidRPr="00B03231">
        <w:rPr>
          <w:sz w:val="18"/>
          <w:szCs w:val="18"/>
        </w:rPr>
        <w:t xml:space="preserve"> OATT to require such coordination.  Rather, we require transmission providers working through NAESB to develop business practice standards related to coordination of requests across multiple transmission systems.  In order to provide guidance to NAESB, we will articulate the principles that should govern processing across multiple systems.  All the transmission providers involved in a request across multiple systems should consider a request that requires studies across multiple systems to be a single application for purposes of establishing the deadlines for rendering an agreement for service, revising queue status, eliciting deposits and commencing service.  In order to preserve the rights of other transmission customers with studies in the queue, the priority for the single application should be based on the latest priority across the transmission providers involved in the multiple system </w:t>
      </w:r>
      <w:proofErr w:type="gramStart"/>
      <w:r w:rsidRPr="00B03231">
        <w:rPr>
          <w:sz w:val="18"/>
          <w:szCs w:val="18"/>
        </w:rPr>
        <w:t>request</w:t>
      </w:r>
      <w:proofErr w:type="gramEnd"/>
      <w:r w:rsidRPr="00B03231">
        <w:rPr>
          <w:sz w:val="18"/>
          <w:szCs w:val="18"/>
        </w:rPr>
        <w:t xml:space="preserve">. </w:t>
      </w:r>
      <w:r w:rsidRPr="00B03231">
        <w:rPr>
          <w:b/>
          <w:i/>
          <w:sz w:val="18"/>
          <w:szCs w:val="18"/>
        </w:rPr>
        <w:t xml:space="preserve"> </w:t>
      </w:r>
      <w:r w:rsidRPr="00B03231">
        <w:rPr>
          <w:sz w:val="18"/>
          <w:szCs w:val="18"/>
        </w:rPr>
        <w:t>We note that regional entities like wesTTrans are already coordinating requests across multiple transmission systems and we believe such coordination is an acceptable solution to this issue.</w:t>
      </w:r>
      <w:r w:rsidRPr="00B03231">
        <w:t xml:space="preserve">  </w:t>
      </w:r>
    </w:p>
  </w:footnote>
  <w:footnote w:id="5">
    <w:p w:rsidR="00CF27A6" w:rsidRDefault="00CF27A6"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1390 of FERC Order No. 890, issued February 16, 2007: We will not modify the pro forma OATT to address requests to allow the transmission provider to terminate idle transmission service requests.  NAESB’s business practice 001-4.11 allows the transmission provider to retract a request if the transmission customer does not respond to an acceptance within the time established in NAESB business practice standard 001-4.13.  Therefore, we interpret TDU Systems comments to refer to circumstances when a transmission customer fails to respond to the transmission provider’s request for additional information during the course of a request study.  As discussed above, by the time the transmission provider offers a system impact study agreement, it should have all of the information that it needs to complete the study.  Pursuant to section 17.4 of the pro forma OATT, the transmission provider can deem a transmission service request deficient if the transmission customer does not provide all of the information the transmission provider needs to evaluate the request for service.  We will revise section 17.7 of the pro forma OATT so that the transmission provider is able to terminate a request for transmission service if a transmission customer that is extending the commencement of service does not pay the required annual reservation fee within 15 days of notifying the transmission provider that it would like to extend the commencement of service.  We will not change the pro forma OATT to allow the transmission provider to terminate a transmission service request if the transmission customer changes its application for service.  We believe the existing pro forma OATT is sufficient to allow a transmission provider to manage situations where the transmission customer modifies its application for service to the point that the customer is requesting transmission service that is meaningfully different than its initial request.</w:t>
      </w:r>
    </w:p>
  </w:footnote>
  <w:footnote w:id="6">
    <w:p w:rsidR="00CF27A6" w:rsidRDefault="00CF27A6"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7">
    <w:p w:rsidR="00CF27A6" w:rsidRDefault="00CF27A6" w:rsidP="00D019E3">
      <w:pPr>
        <w:pStyle w:val="FootnoteText"/>
        <w:jc w:val="left"/>
      </w:pPr>
      <w:r w:rsidRPr="003B1595">
        <w:rPr>
          <w:rStyle w:val="FootnoteReference"/>
          <w:rFonts w:ascii="Times New Roman" w:hAnsi="Times New Roman"/>
          <w:sz w:val="18"/>
          <w:szCs w:val="18"/>
        </w:rPr>
        <w:footnoteRef/>
      </w:r>
      <w:r w:rsidRPr="003B1595">
        <w:rPr>
          <w:rFonts w:ascii="Times New Roman" w:hAnsi="Times New Roman"/>
          <w:sz w:val="18"/>
          <w:szCs w:val="18"/>
        </w:rPr>
        <w:t xml:space="preserve"> 39.</w:t>
      </w:r>
      <w:r w:rsidRPr="003B1595">
        <w:rPr>
          <w:rFonts w:ascii="Times New Roman" w:hAnsi="Times New Roman"/>
          <w:sz w:val="18"/>
          <w:szCs w:val="18"/>
        </w:rPr>
        <w:tab/>
        <w:t>In regards to Entergy’s question of whether the transmission provider’s calculated and posted available flowgate capability values should be used to fulfill the posting requirements set forth in Standard 001-14 and 001-15 in instances where there is no requirement to convert this calculation to available transfer capability values, we agree with Entergy that this requirement can be met by the transmission provider posting its available flowgate capability values.  As to EPSA’s argument that Standard 001-15 falls short of the goals of Order No. 890, we find that, with the exception of Standard 001-15.1.2, compliance with Standard 001-15 provides all of the information required by Order No. 890.  However, Standards 001-14.1.3 and 001-15.1.2 permit transmission providers to post an available transfer capability change narrative within five business days of meeting the criteria under which a narrative is required to be posted.  In Order No. 890, the Commission rejected calls for delays prior to posting data and required posting as soon as possible.   We do not find the NAESB standard meets this criterion and therefore decline to incorporate Standards 001-14.1.3 and 001-15.1.2 by reference.  Transmission providers must post their narratives as soon as feasibly possible.  Posting within one day would appear in most cases to be reasonable.</w:t>
      </w:r>
    </w:p>
  </w:footnote>
  <w:footnote w:id="8">
    <w:p w:rsidR="00CF27A6" w:rsidRDefault="00CF27A6"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CF27A6" w:rsidRDefault="00CF27A6" w:rsidP="00D019E3">
      <w:pPr>
        <w:pStyle w:val="FootnoteText"/>
        <w:jc w:val="left"/>
      </w:pPr>
      <w:r>
        <w:rPr>
          <w:rStyle w:val="FootnoteReference"/>
        </w:rPr>
        <w:footnoteRef/>
      </w:r>
      <w:r>
        <w:t xml:space="preserve"> </w:t>
      </w:r>
      <w:r w:rsidRPr="00C16215">
        <w:rPr>
          <w:rFonts w:ascii="Times New Roman" w:hAnsi="Times New Roman"/>
          <w:sz w:val="18"/>
          <w:szCs w:val="18"/>
        </w:rPr>
        <w:t>105.</w:t>
      </w:r>
      <w:r w:rsidRPr="00C16215">
        <w:rPr>
          <w:rFonts w:ascii="Times New Roman" w:hAnsi="Times New Roman"/>
          <w:sz w:val="18"/>
          <w:szCs w:val="18"/>
        </w:rPr>
        <w:tab/>
        <w:t>We agree that insufficient progress has been made on this issue.  While we acknowledge that development of standards addressing this issue is included in NAESB’s 2009 WEQ Annual Plan</w:t>
      </w:r>
      <w:proofErr w:type="gramStart"/>
      <w:r w:rsidRPr="00C16215">
        <w:rPr>
          <w:rFonts w:ascii="Times New Roman" w:hAnsi="Times New Roman"/>
          <w:sz w:val="18"/>
          <w:szCs w:val="18"/>
        </w:rPr>
        <w:t>,  we</w:t>
      </w:r>
      <w:proofErr w:type="gramEnd"/>
      <w:r w:rsidRPr="00C16215">
        <w:rPr>
          <w:rFonts w:ascii="Times New Roman" w:hAnsi="Times New Roman"/>
          <w:sz w:val="18"/>
          <w:szCs w:val="18"/>
        </w:rPr>
        <w:t xml:space="preserve"> nevertheless urge NAESB to address this issue as soon as possible.  Accordingly, we request that NAESB provide the Commission with a status report concerning its progress on this issue every six months, counting from the date this final rule is published in the Federal Register, until NAESB’s adoption of the applicable standard(s).  </w:t>
      </w:r>
    </w:p>
  </w:footnote>
  <w:footnote w:id="10">
    <w:p w:rsidR="00CF27A6" w:rsidRDefault="00CF27A6" w:rsidP="00D019E3">
      <w:pPr>
        <w:pStyle w:val="FootnoteText"/>
        <w:jc w:val="left"/>
      </w:pPr>
      <w:r>
        <w:rPr>
          <w:rStyle w:val="FootnoteReference"/>
        </w:rPr>
        <w:footnoteRef/>
      </w:r>
      <w:r>
        <w:t xml:space="preserve"> </w:t>
      </w:r>
      <w:r w:rsidRPr="00EA1BD2">
        <w:rPr>
          <w:rFonts w:ascii="Times New Roman" w:hAnsi="Times New Roman"/>
          <w:sz w:val="18"/>
          <w:szCs w:val="18"/>
        </w:rPr>
        <w:t>805. The Commission recognizes that developing methods to allocate capacity among</w:t>
      </w:r>
      <w:r>
        <w:rPr>
          <w:rFonts w:ascii="Times New Roman" w:hAnsi="Times New Roman"/>
          <w:sz w:val="18"/>
          <w:szCs w:val="18"/>
        </w:rPr>
        <w:t xml:space="preserve"> </w:t>
      </w:r>
      <w:r w:rsidRPr="00EA1BD2">
        <w:rPr>
          <w:rFonts w:ascii="Times New Roman" w:hAnsi="Times New Roman"/>
          <w:sz w:val="18"/>
          <w:szCs w:val="18"/>
        </w:rPr>
        <w:t>requests received during a submittal window may require detailed procedures, particularly</w:t>
      </w:r>
      <w:r>
        <w:rPr>
          <w:rFonts w:ascii="Times New Roman" w:hAnsi="Times New Roman"/>
          <w:sz w:val="18"/>
          <w:szCs w:val="18"/>
        </w:rPr>
        <w:t xml:space="preserve"> </w:t>
      </w:r>
      <w:r w:rsidRPr="00EA1BD2">
        <w:rPr>
          <w:rFonts w:ascii="Times New Roman" w:hAnsi="Times New Roman"/>
          <w:sz w:val="18"/>
          <w:szCs w:val="18"/>
        </w:rPr>
        <w:t>when transmission requests received simultaneously exceed available capacity. As the</w:t>
      </w:r>
      <w:r>
        <w:rPr>
          <w:rFonts w:ascii="Times New Roman" w:hAnsi="Times New Roman"/>
          <w:sz w:val="18"/>
          <w:szCs w:val="18"/>
        </w:rPr>
        <w:t xml:space="preserve"> </w:t>
      </w:r>
      <w:r w:rsidRPr="00EA1BD2">
        <w:rPr>
          <w:rFonts w:ascii="Times New Roman" w:hAnsi="Times New Roman"/>
          <w:sz w:val="18"/>
          <w:szCs w:val="18"/>
        </w:rPr>
        <w:t>Commission explained in Order No. 890, however, we believe that each transmission</w:t>
      </w:r>
      <w:r>
        <w:rPr>
          <w:rFonts w:ascii="Times New Roman" w:hAnsi="Times New Roman"/>
          <w:sz w:val="18"/>
          <w:szCs w:val="18"/>
        </w:rPr>
        <w:t xml:space="preserve"> </w:t>
      </w:r>
      <w:r w:rsidRPr="00EA1BD2">
        <w:rPr>
          <w:rFonts w:ascii="Times New Roman" w:hAnsi="Times New Roman"/>
          <w:sz w:val="18"/>
          <w:szCs w:val="18"/>
        </w:rPr>
        <w:t>provider is in the best position to develop allocation procedures that are suitable for its</w:t>
      </w:r>
      <w:r>
        <w:rPr>
          <w:rFonts w:ascii="Times New Roman" w:hAnsi="Times New Roman"/>
          <w:sz w:val="18"/>
          <w:szCs w:val="18"/>
        </w:rPr>
        <w:t xml:space="preserve"> </w:t>
      </w:r>
      <w:r w:rsidRPr="00EA1BD2">
        <w:rPr>
          <w:rFonts w:ascii="Times New Roman" w:hAnsi="Times New Roman"/>
          <w:sz w:val="18"/>
          <w:szCs w:val="18"/>
        </w:rPr>
        <w:t>system. This does not preclude transmission providers from working through NAESB to</w:t>
      </w:r>
      <w:r>
        <w:rPr>
          <w:rFonts w:ascii="Times New Roman" w:hAnsi="Times New Roman"/>
          <w:sz w:val="18"/>
          <w:szCs w:val="18"/>
        </w:rPr>
        <w:t xml:space="preserve"> </w:t>
      </w:r>
      <w:r w:rsidRPr="00EA1BD2">
        <w:rPr>
          <w:rFonts w:ascii="Times New Roman" w:hAnsi="Times New Roman"/>
          <w:sz w:val="18"/>
          <w:szCs w:val="18"/>
        </w:rPr>
        <w:t>develop standardized practices, as suggested by Southern. For example, as we pointed out</w:t>
      </w:r>
      <w:r>
        <w:rPr>
          <w:rFonts w:ascii="Times New Roman" w:hAnsi="Times New Roman"/>
          <w:sz w:val="18"/>
          <w:szCs w:val="18"/>
        </w:rPr>
        <w:t xml:space="preserve"> </w:t>
      </w:r>
      <w:r w:rsidRPr="00EA1BD2">
        <w:rPr>
          <w:rFonts w:ascii="Times New Roman" w:hAnsi="Times New Roman"/>
          <w:sz w:val="18"/>
          <w:szCs w:val="18"/>
        </w:rPr>
        <w:t>in Order No. 890, allocation methods such as that used by PJM to allocate monthly firm</w:t>
      </w:r>
      <w:r>
        <w:rPr>
          <w:rFonts w:ascii="Times New Roman" w:hAnsi="Times New Roman"/>
          <w:sz w:val="18"/>
          <w:szCs w:val="18"/>
        </w:rPr>
        <w:t xml:space="preserve"> </w:t>
      </w:r>
      <w:r w:rsidRPr="00EA1BD2">
        <w:rPr>
          <w:rFonts w:ascii="Times New Roman" w:hAnsi="Times New Roman"/>
          <w:sz w:val="18"/>
          <w:szCs w:val="18"/>
        </w:rPr>
        <w:t>point-to-point transmission service could provide useful guidance in developing general</w:t>
      </w:r>
      <w:r>
        <w:rPr>
          <w:rFonts w:ascii="Times New Roman" w:hAnsi="Times New Roman"/>
          <w:sz w:val="18"/>
          <w:szCs w:val="18"/>
        </w:rPr>
        <w:t xml:space="preserve"> </w:t>
      </w:r>
      <w:r w:rsidRPr="00EA1BD2">
        <w:rPr>
          <w:rFonts w:ascii="Times New Roman" w:hAnsi="Times New Roman"/>
          <w:sz w:val="18"/>
          <w:szCs w:val="18"/>
        </w:rPr>
        <w:t>allocation procedures.</w:t>
      </w:r>
    </w:p>
  </w:footnote>
  <w:footnote w:id="11">
    <w:p w:rsidR="00CF27A6" w:rsidRDefault="00CF27A6" w:rsidP="009B70E3">
      <w:r w:rsidRPr="009B70E3">
        <w:rPr>
          <w:rStyle w:val="FootnoteReference"/>
          <w:sz w:val="18"/>
          <w:szCs w:val="18"/>
        </w:rPr>
        <w:footnoteRef/>
      </w:r>
      <w:r w:rsidRPr="009B70E3">
        <w:rPr>
          <w:sz w:val="18"/>
          <w:szCs w:val="18"/>
        </w:rPr>
        <w:t xml:space="preserve"> Phase </w:t>
      </w:r>
      <w:r>
        <w:rPr>
          <w:sz w:val="18"/>
          <w:szCs w:val="18"/>
        </w:rPr>
        <w:t>2</w:t>
      </w:r>
      <w:r w:rsidRPr="009B70E3">
        <w:rPr>
          <w:sz w:val="18"/>
          <w:szCs w:val="18"/>
        </w:rPr>
        <w:t xml:space="preserve"> of the Parallel Flow Visualization looks at developing options for and reporting of the most cost effective alternatives to achieve curtail obligations assigned during Phase </w:t>
      </w:r>
      <w:r>
        <w:rPr>
          <w:sz w:val="18"/>
          <w:szCs w:val="18"/>
        </w:rPr>
        <w:t>1</w:t>
      </w:r>
      <w:r w:rsidRPr="009B70E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A6" w:rsidRPr="00893109" w:rsidRDefault="00283280"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6" w:rsidRDefault="00CF27A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3"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CF27A6" w:rsidRDefault="00CF27A6"/>
                </w:txbxContent>
              </v:textbox>
            </v:rect>
          </w:pict>
        </mc:Fallback>
      </mc:AlternateContent>
    </w:r>
    <w:r w:rsidR="00CF27A6" w:rsidRPr="00893109">
      <w:rPr>
        <w:b/>
        <w:spacing w:val="20"/>
        <w:sz w:val="32"/>
      </w:rPr>
      <w:t>North American Energy Standards Board</w:t>
    </w:r>
  </w:p>
  <w:p w:rsidR="00CF27A6" w:rsidRPr="00893109" w:rsidRDefault="00CF27A6"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CF27A6" w:rsidRPr="00893109" w:rsidRDefault="00CF27A6" w:rsidP="004D21B7">
    <w:pPr>
      <w:pStyle w:val="Header"/>
      <w:ind w:left="1800"/>
      <w:jc w:val="right"/>
    </w:pPr>
    <w:r w:rsidRPr="00893109">
      <w:t>Phone:  (713) 356-0060, Fax:  (713) 356-0067, E-mail: naesb@naesb.org</w:t>
    </w:r>
  </w:p>
  <w:p w:rsidR="00CF27A6" w:rsidRPr="00BA2428" w:rsidRDefault="00CF27A6" w:rsidP="00BA2428">
    <w:pPr>
      <w:pStyle w:val="Header"/>
      <w:pBdr>
        <w:bottom w:val="single" w:sz="18" w:space="1" w:color="auto"/>
      </w:pBdr>
      <w:tabs>
        <w:tab w:val="left" w:pos="2955"/>
        <w:tab w:val="right" w:pos="9360"/>
      </w:tabs>
      <w:ind w:left="1800" w:hanging="1800"/>
      <w:jc w:val="right"/>
      <w:rPr>
        <w:rFonts w:ascii="Bookman Old Style" w:hAnsi="Bookman Old Style" w:cs="Tahoma"/>
      </w:rPr>
    </w:pPr>
    <w:r>
      <w:tab/>
    </w:r>
    <w:r w:rsidRPr="00893109">
      <w:tab/>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A6" w:rsidRDefault="00283280"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18415" b="6350"/>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27A6" w:rsidRDefault="00CF27A6"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4"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CF27A6" w:rsidRDefault="00CF27A6" w:rsidP="00307EB9"/>
                </w:txbxContent>
              </v:textbox>
            </v:rect>
          </w:pict>
        </mc:Fallback>
      </mc:AlternateContent>
    </w:r>
  </w:p>
  <w:p w:rsidR="00CF27A6" w:rsidRDefault="00CF27A6" w:rsidP="00307EB9">
    <w:pPr>
      <w:pStyle w:val="Header"/>
      <w:tabs>
        <w:tab w:val="left" w:pos="1080"/>
      </w:tabs>
      <w:ind w:left="2160"/>
      <w:rPr>
        <w:rFonts w:ascii="Bookman Old Style" w:hAnsi="Bookman Old Style"/>
        <w:b/>
        <w:sz w:val="28"/>
      </w:rPr>
    </w:pPr>
  </w:p>
  <w:p w:rsidR="00CF27A6" w:rsidRPr="00893109" w:rsidRDefault="00CF27A6"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CF27A6" w:rsidRPr="00893109" w:rsidRDefault="00CF27A6"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CF27A6" w:rsidRPr="00893109" w:rsidRDefault="00CF27A6" w:rsidP="00307EB9">
    <w:pPr>
      <w:pStyle w:val="Header"/>
      <w:ind w:left="1800"/>
      <w:jc w:val="right"/>
    </w:pPr>
    <w:r w:rsidRPr="00893109">
      <w:t>Phone:  (713) 356-0060, Fax:  (713) 356-0067, E-mail: naesb@naesb.org</w:t>
    </w:r>
  </w:p>
  <w:p w:rsidR="00CF27A6" w:rsidRPr="00893109" w:rsidRDefault="00CF27A6" w:rsidP="00307EB9">
    <w:pPr>
      <w:pStyle w:val="Header"/>
      <w:pBdr>
        <w:bottom w:val="single" w:sz="18" w:space="1" w:color="auto"/>
      </w:pBdr>
      <w:tabs>
        <w:tab w:val="left" w:pos="2955"/>
        <w:tab w:val="right" w:pos="9360"/>
      </w:tabs>
      <w:ind w:left="1800" w:hanging="1800"/>
      <w:jc w:val="right"/>
    </w:pPr>
    <w:r>
      <w:tab/>
    </w:r>
    <w:r w:rsidRPr="00893109">
      <w:tab/>
      <w:t xml:space="preserve">Home Page: </w:t>
    </w:r>
    <w:hyperlink r:id="rId2" w:history="1">
      <w:r w:rsidRPr="00893109">
        <w:rPr>
          <w:rStyle w:val="Hyperlink"/>
        </w:rPr>
        <w:t>www.naesb.org</w:t>
      </w:r>
    </w:hyperlink>
  </w:p>
  <w:p w:rsidR="00CF27A6" w:rsidRDefault="00CF27A6" w:rsidP="00307EB9">
    <w:pPr>
      <w:pStyle w:val="Header"/>
      <w:pBdr>
        <w:bottom w:val="single" w:sz="18" w:space="1" w:color="auto"/>
      </w:pBdr>
      <w:spacing w:after="120"/>
      <w:ind w:left="1800" w:hanging="1800"/>
      <w:rPr>
        <w:rFonts w:ascii="Bookman Old Style" w:hAnsi="Bookman Old Style" w:cs="Tahoma"/>
        <w:sz w:val="12"/>
        <w:szCs w:val="12"/>
      </w:rPr>
    </w:pPr>
  </w:p>
  <w:p w:rsidR="00CF27A6" w:rsidRDefault="00CF27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7A6" w:rsidRDefault="00CF27A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14DC"/>
    <w:rsid w:val="00023572"/>
    <w:rsid w:val="00025C26"/>
    <w:rsid w:val="00030C7E"/>
    <w:rsid w:val="00031DBF"/>
    <w:rsid w:val="00034724"/>
    <w:rsid w:val="00037174"/>
    <w:rsid w:val="00040A3D"/>
    <w:rsid w:val="00041239"/>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685F"/>
    <w:rsid w:val="00081AA1"/>
    <w:rsid w:val="0008201C"/>
    <w:rsid w:val="00083664"/>
    <w:rsid w:val="00083974"/>
    <w:rsid w:val="00085A7A"/>
    <w:rsid w:val="00085D4D"/>
    <w:rsid w:val="00093A8F"/>
    <w:rsid w:val="000959F0"/>
    <w:rsid w:val="000A1257"/>
    <w:rsid w:val="000A167F"/>
    <w:rsid w:val="000A1E25"/>
    <w:rsid w:val="000B73F1"/>
    <w:rsid w:val="000C0244"/>
    <w:rsid w:val="000C1065"/>
    <w:rsid w:val="000C2FE7"/>
    <w:rsid w:val="000C5219"/>
    <w:rsid w:val="000C55BB"/>
    <w:rsid w:val="000C5ED5"/>
    <w:rsid w:val="000C7728"/>
    <w:rsid w:val="000D1C66"/>
    <w:rsid w:val="000D458E"/>
    <w:rsid w:val="000D6D93"/>
    <w:rsid w:val="000E478A"/>
    <w:rsid w:val="000E65DB"/>
    <w:rsid w:val="000F2E69"/>
    <w:rsid w:val="000F402D"/>
    <w:rsid w:val="00100480"/>
    <w:rsid w:val="00100944"/>
    <w:rsid w:val="00102143"/>
    <w:rsid w:val="00102471"/>
    <w:rsid w:val="001031C2"/>
    <w:rsid w:val="001058F5"/>
    <w:rsid w:val="00112097"/>
    <w:rsid w:val="00112FD5"/>
    <w:rsid w:val="00113887"/>
    <w:rsid w:val="00114405"/>
    <w:rsid w:val="00114611"/>
    <w:rsid w:val="00114E0F"/>
    <w:rsid w:val="00115000"/>
    <w:rsid w:val="00115381"/>
    <w:rsid w:val="00116350"/>
    <w:rsid w:val="00117BF1"/>
    <w:rsid w:val="001223EA"/>
    <w:rsid w:val="00123097"/>
    <w:rsid w:val="00126D51"/>
    <w:rsid w:val="0013077B"/>
    <w:rsid w:val="00130853"/>
    <w:rsid w:val="0013172E"/>
    <w:rsid w:val="001354AB"/>
    <w:rsid w:val="00141D54"/>
    <w:rsid w:val="001425F0"/>
    <w:rsid w:val="00142F98"/>
    <w:rsid w:val="00145654"/>
    <w:rsid w:val="00152757"/>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705AE"/>
    <w:rsid w:val="002733D2"/>
    <w:rsid w:val="0027768E"/>
    <w:rsid w:val="00280C94"/>
    <w:rsid w:val="00281ABB"/>
    <w:rsid w:val="00282481"/>
    <w:rsid w:val="00283280"/>
    <w:rsid w:val="00283BF9"/>
    <w:rsid w:val="00287347"/>
    <w:rsid w:val="00290CB4"/>
    <w:rsid w:val="002957AD"/>
    <w:rsid w:val="00295FCF"/>
    <w:rsid w:val="00297076"/>
    <w:rsid w:val="00297A90"/>
    <w:rsid w:val="002A0990"/>
    <w:rsid w:val="002A4936"/>
    <w:rsid w:val="002A7DD6"/>
    <w:rsid w:val="002A7EB9"/>
    <w:rsid w:val="002B27BB"/>
    <w:rsid w:val="002B2D7F"/>
    <w:rsid w:val="002B2F25"/>
    <w:rsid w:val="002B4E8E"/>
    <w:rsid w:val="002B6699"/>
    <w:rsid w:val="002B6A4D"/>
    <w:rsid w:val="002C1B55"/>
    <w:rsid w:val="002C28E3"/>
    <w:rsid w:val="002C3B55"/>
    <w:rsid w:val="002C3F47"/>
    <w:rsid w:val="002C684D"/>
    <w:rsid w:val="002C6DF9"/>
    <w:rsid w:val="002D0A1E"/>
    <w:rsid w:val="002D1C0A"/>
    <w:rsid w:val="002D26B2"/>
    <w:rsid w:val="002D73B3"/>
    <w:rsid w:val="002E023D"/>
    <w:rsid w:val="002E18C0"/>
    <w:rsid w:val="002E344E"/>
    <w:rsid w:val="002E3C25"/>
    <w:rsid w:val="002E49F1"/>
    <w:rsid w:val="002E4AD1"/>
    <w:rsid w:val="002E59EC"/>
    <w:rsid w:val="002E795A"/>
    <w:rsid w:val="002F1F50"/>
    <w:rsid w:val="002F2ACD"/>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A75"/>
    <w:rsid w:val="00352903"/>
    <w:rsid w:val="00355CEC"/>
    <w:rsid w:val="00355D7D"/>
    <w:rsid w:val="00357D3C"/>
    <w:rsid w:val="003608C9"/>
    <w:rsid w:val="00362665"/>
    <w:rsid w:val="00363539"/>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5D6C"/>
    <w:rsid w:val="003D0BCA"/>
    <w:rsid w:val="003D121A"/>
    <w:rsid w:val="003D1BB9"/>
    <w:rsid w:val="003D228B"/>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1305B"/>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40DC0"/>
    <w:rsid w:val="004421A5"/>
    <w:rsid w:val="00443C1A"/>
    <w:rsid w:val="004453C2"/>
    <w:rsid w:val="00446738"/>
    <w:rsid w:val="00447CE4"/>
    <w:rsid w:val="004508F1"/>
    <w:rsid w:val="004527CF"/>
    <w:rsid w:val="00453A6B"/>
    <w:rsid w:val="00453CC9"/>
    <w:rsid w:val="00460E87"/>
    <w:rsid w:val="00467970"/>
    <w:rsid w:val="00474834"/>
    <w:rsid w:val="00480977"/>
    <w:rsid w:val="00482E79"/>
    <w:rsid w:val="00485C84"/>
    <w:rsid w:val="004873EB"/>
    <w:rsid w:val="004907BD"/>
    <w:rsid w:val="00492A41"/>
    <w:rsid w:val="00492BE9"/>
    <w:rsid w:val="004943FE"/>
    <w:rsid w:val="004A0E12"/>
    <w:rsid w:val="004A1407"/>
    <w:rsid w:val="004A6422"/>
    <w:rsid w:val="004A7DE6"/>
    <w:rsid w:val="004B06D3"/>
    <w:rsid w:val="004B0849"/>
    <w:rsid w:val="004B2B13"/>
    <w:rsid w:val="004B5DDC"/>
    <w:rsid w:val="004B7005"/>
    <w:rsid w:val="004C30BB"/>
    <w:rsid w:val="004C673D"/>
    <w:rsid w:val="004D0366"/>
    <w:rsid w:val="004D21B7"/>
    <w:rsid w:val="004D3802"/>
    <w:rsid w:val="004D3BBB"/>
    <w:rsid w:val="004D5D1A"/>
    <w:rsid w:val="004D5FF8"/>
    <w:rsid w:val="004E102A"/>
    <w:rsid w:val="004E464A"/>
    <w:rsid w:val="004E73FE"/>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E90"/>
    <w:rsid w:val="0056516F"/>
    <w:rsid w:val="00567B49"/>
    <w:rsid w:val="005715B7"/>
    <w:rsid w:val="00572E7B"/>
    <w:rsid w:val="005732F9"/>
    <w:rsid w:val="005733CB"/>
    <w:rsid w:val="0057390B"/>
    <w:rsid w:val="00574D72"/>
    <w:rsid w:val="005761CE"/>
    <w:rsid w:val="00580FBA"/>
    <w:rsid w:val="00586BA1"/>
    <w:rsid w:val="00586C4E"/>
    <w:rsid w:val="00586CEE"/>
    <w:rsid w:val="00590483"/>
    <w:rsid w:val="005952DA"/>
    <w:rsid w:val="00597AFD"/>
    <w:rsid w:val="005A1484"/>
    <w:rsid w:val="005A184C"/>
    <w:rsid w:val="005A4EC6"/>
    <w:rsid w:val="005B3D50"/>
    <w:rsid w:val="005B63E2"/>
    <w:rsid w:val="005C05B2"/>
    <w:rsid w:val="005D122C"/>
    <w:rsid w:val="005D1FBE"/>
    <w:rsid w:val="005D78C4"/>
    <w:rsid w:val="005E2F6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65B"/>
    <w:rsid w:val="006274F0"/>
    <w:rsid w:val="00631356"/>
    <w:rsid w:val="0063227D"/>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446E"/>
    <w:rsid w:val="006A4D98"/>
    <w:rsid w:val="006B04BA"/>
    <w:rsid w:val="006B1DA9"/>
    <w:rsid w:val="006B479C"/>
    <w:rsid w:val="006B49EE"/>
    <w:rsid w:val="006B51C6"/>
    <w:rsid w:val="006B7786"/>
    <w:rsid w:val="006C0E4E"/>
    <w:rsid w:val="006C1972"/>
    <w:rsid w:val="006C1D52"/>
    <w:rsid w:val="006C2C50"/>
    <w:rsid w:val="006C2D89"/>
    <w:rsid w:val="006C35DB"/>
    <w:rsid w:val="006C71D5"/>
    <w:rsid w:val="006D47F9"/>
    <w:rsid w:val="006D7129"/>
    <w:rsid w:val="006E1020"/>
    <w:rsid w:val="006E22B9"/>
    <w:rsid w:val="006E28B3"/>
    <w:rsid w:val="006E55EE"/>
    <w:rsid w:val="006E6D5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74CF"/>
    <w:rsid w:val="0074756E"/>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80E8F"/>
    <w:rsid w:val="00780EB5"/>
    <w:rsid w:val="00781852"/>
    <w:rsid w:val="007901AA"/>
    <w:rsid w:val="00791427"/>
    <w:rsid w:val="00791539"/>
    <w:rsid w:val="0079153F"/>
    <w:rsid w:val="007A0CA2"/>
    <w:rsid w:val="007A1AA2"/>
    <w:rsid w:val="007A35ED"/>
    <w:rsid w:val="007A3864"/>
    <w:rsid w:val="007A5053"/>
    <w:rsid w:val="007A50B3"/>
    <w:rsid w:val="007A73A6"/>
    <w:rsid w:val="007B221A"/>
    <w:rsid w:val="007B5858"/>
    <w:rsid w:val="007B6B9E"/>
    <w:rsid w:val="007B7507"/>
    <w:rsid w:val="007C458B"/>
    <w:rsid w:val="007C551D"/>
    <w:rsid w:val="007D0826"/>
    <w:rsid w:val="007D21A9"/>
    <w:rsid w:val="007D3170"/>
    <w:rsid w:val="007D31CC"/>
    <w:rsid w:val="007D49E5"/>
    <w:rsid w:val="007D5E4B"/>
    <w:rsid w:val="007D6AB3"/>
    <w:rsid w:val="007E09FE"/>
    <w:rsid w:val="007E1CCC"/>
    <w:rsid w:val="007E222D"/>
    <w:rsid w:val="007E2BB2"/>
    <w:rsid w:val="007E3F50"/>
    <w:rsid w:val="007E6C42"/>
    <w:rsid w:val="007F04A0"/>
    <w:rsid w:val="007F0A14"/>
    <w:rsid w:val="007F3794"/>
    <w:rsid w:val="007F3E4F"/>
    <w:rsid w:val="007F60A1"/>
    <w:rsid w:val="008031AC"/>
    <w:rsid w:val="00804174"/>
    <w:rsid w:val="00804334"/>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6024"/>
    <w:rsid w:val="008E6241"/>
    <w:rsid w:val="008E697F"/>
    <w:rsid w:val="008F18F0"/>
    <w:rsid w:val="008F1DCF"/>
    <w:rsid w:val="008F3E5B"/>
    <w:rsid w:val="008F4B41"/>
    <w:rsid w:val="008F762E"/>
    <w:rsid w:val="008F7C7F"/>
    <w:rsid w:val="009026F7"/>
    <w:rsid w:val="009044C6"/>
    <w:rsid w:val="00904917"/>
    <w:rsid w:val="00905ABF"/>
    <w:rsid w:val="00910338"/>
    <w:rsid w:val="00912AA4"/>
    <w:rsid w:val="00914F50"/>
    <w:rsid w:val="00920407"/>
    <w:rsid w:val="0092099E"/>
    <w:rsid w:val="00920C63"/>
    <w:rsid w:val="0092102D"/>
    <w:rsid w:val="00922A24"/>
    <w:rsid w:val="0092789E"/>
    <w:rsid w:val="00927DA5"/>
    <w:rsid w:val="00935F42"/>
    <w:rsid w:val="0093787A"/>
    <w:rsid w:val="00940B6E"/>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90184"/>
    <w:rsid w:val="00990D5D"/>
    <w:rsid w:val="00991F29"/>
    <w:rsid w:val="009920D2"/>
    <w:rsid w:val="00994BB7"/>
    <w:rsid w:val="0099526D"/>
    <w:rsid w:val="009A1C18"/>
    <w:rsid w:val="009A305C"/>
    <w:rsid w:val="009A47EF"/>
    <w:rsid w:val="009A643C"/>
    <w:rsid w:val="009A79EB"/>
    <w:rsid w:val="009B0D1D"/>
    <w:rsid w:val="009B27EB"/>
    <w:rsid w:val="009B3CD5"/>
    <w:rsid w:val="009B70E3"/>
    <w:rsid w:val="009C019C"/>
    <w:rsid w:val="009C14CB"/>
    <w:rsid w:val="009C25C3"/>
    <w:rsid w:val="009C4B27"/>
    <w:rsid w:val="009C55CD"/>
    <w:rsid w:val="009D4C94"/>
    <w:rsid w:val="009D5F4F"/>
    <w:rsid w:val="009D65BC"/>
    <w:rsid w:val="009E0D19"/>
    <w:rsid w:val="009E6078"/>
    <w:rsid w:val="009E6342"/>
    <w:rsid w:val="009E6D37"/>
    <w:rsid w:val="009E6F4C"/>
    <w:rsid w:val="009F059D"/>
    <w:rsid w:val="009F4BCC"/>
    <w:rsid w:val="009F5DD3"/>
    <w:rsid w:val="00A00E7D"/>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40C8"/>
    <w:rsid w:val="00A46ADE"/>
    <w:rsid w:val="00A46C7D"/>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15E4"/>
    <w:rsid w:val="00A93D77"/>
    <w:rsid w:val="00A944BD"/>
    <w:rsid w:val="00A94857"/>
    <w:rsid w:val="00A978D5"/>
    <w:rsid w:val="00AA1870"/>
    <w:rsid w:val="00AA519C"/>
    <w:rsid w:val="00AB4378"/>
    <w:rsid w:val="00AB5A14"/>
    <w:rsid w:val="00AC2023"/>
    <w:rsid w:val="00AC2F1E"/>
    <w:rsid w:val="00AC401D"/>
    <w:rsid w:val="00AC4313"/>
    <w:rsid w:val="00AC4E22"/>
    <w:rsid w:val="00AC55E1"/>
    <w:rsid w:val="00AC6721"/>
    <w:rsid w:val="00AC75A2"/>
    <w:rsid w:val="00AD03C3"/>
    <w:rsid w:val="00AD0B2F"/>
    <w:rsid w:val="00AD4E4D"/>
    <w:rsid w:val="00AD67D3"/>
    <w:rsid w:val="00AD6AE9"/>
    <w:rsid w:val="00AE0A7F"/>
    <w:rsid w:val="00AE0FE0"/>
    <w:rsid w:val="00AE1536"/>
    <w:rsid w:val="00AE1AC7"/>
    <w:rsid w:val="00AE203F"/>
    <w:rsid w:val="00AE3683"/>
    <w:rsid w:val="00AE568D"/>
    <w:rsid w:val="00AE79F4"/>
    <w:rsid w:val="00AF1D59"/>
    <w:rsid w:val="00AF546D"/>
    <w:rsid w:val="00B011AB"/>
    <w:rsid w:val="00B01403"/>
    <w:rsid w:val="00B029EE"/>
    <w:rsid w:val="00B03198"/>
    <w:rsid w:val="00B03231"/>
    <w:rsid w:val="00B070F4"/>
    <w:rsid w:val="00B112C7"/>
    <w:rsid w:val="00B1155C"/>
    <w:rsid w:val="00B16FCB"/>
    <w:rsid w:val="00B1777F"/>
    <w:rsid w:val="00B235A5"/>
    <w:rsid w:val="00B23AFF"/>
    <w:rsid w:val="00B3242B"/>
    <w:rsid w:val="00B326AD"/>
    <w:rsid w:val="00B32BA2"/>
    <w:rsid w:val="00B339AB"/>
    <w:rsid w:val="00B3419D"/>
    <w:rsid w:val="00B35410"/>
    <w:rsid w:val="00B3683B"/>
    <w:rsid w:val="00B414F4"/>
    <w:rsid w:val="00B423AF"/>
    <w:rsid w:val="00B43D1A"/>
    <w:rsid w:val="00B451E1"/>
    <w:rsid w:val="00B515C7"/>
    <w:rsid w:val="00B52E50"/>
    <w:rsid w:val="00B57E63"/>
    <w:rsid w:val="00B63C8E"/>
    <w:rsid w:val="00B66FA1"/>
    <w:rsid w:val="00B70058"/>
    <w:rsid w:val="00B708A4"/>
    <w:rsid w:val="00B70C6C"/>
    <w:rsid w:val="00B70E6D"/>
    <w:rsid w:val="00B7134D"/>
    <w:rsid w:val="00B714C4"/>
    <w:rsid w:val="00B715FD"/>
    <w:rsid w:val="00B749F4"/>
    <w:rsid w:val="00B767B4"/>
    <w:rsid w:val="00B842A8"/>
    <w:rsid w:val="00B8798D"/>
    <w:rsid w:val="00B916C7"/>
    <w:rsid w:val="00B92B96"/>
    <w:rsid w:val="00BA1B16"/>
    <w:rsid w:val="00BA2428"/>
    <w:rsid w:val="00BA6909"/>
    <w:rsid w:val="00BA773F"/>
    <w:rsid w:val="00BB2F34"/>
    <w:rsid w:val="00BB5ABF"/>
    <w:rsid w:val="00BB623F"/>
    <w:rsid w:val="00BC144D"/>
    <w:rsid w:val="00BC22CB"/>
    <w:rsid w:val="00BC23BA"/>
    <w:rsid w:val="00BC3D0E"/>
    <w:rsid w:val="00BC5B29"/>
    <w:rsid w:val="00BD7BBC"/>
    <w:rsid w:val="00BE1F2D"/>
    <w:rsid w:val="00BE465D"/>
    <w:rsid w:val="00BE467E"/>
    <w:rsid w:val="00BE4DB2"/>
    <w:rsid w:val="00BE51F2"/>
    <w:rsid w:val="00BE6C09"/>
    <w:rsid w:val="00BE708A"/>
    <w:rsid w:val="00BE73CB"/>
    <w:rsid w:val="00BE7656"/>
    <w:rsid w:val="00BE7BDD"/>
    <w:rsid w:val="00BF00B7"/>
    <w:rsid w:val="00BF41A0"/>
    <w:rsid w:val="00C016A8"/>
    <w:rsid w:val="00C017E5"/>
    <w:rsid w:val="00C01805"/>
    <w:rsid w:val="00C03177"/>
    <w:rsid w:val="00C13C1E"/>
    <w:rsid w:val="00C142CF"/>
    <w:rsid w:val="00C16215"/>
    <w:rsid w:val="00C162BD"/>
    <w:rsid w:val="00C166A5"/>
    <w:rsid w:val="00C17E62"/>
    <w:rsid w:val="00C22DCD"/>
    <w:rsid w:val="00C2390F"/>
    <w:rsid w:val="00C33358"/>
    <w:rsid w:val="00C33650"/>
    <w:rsid w:val="00C3423D"/>
    <w:rsid w:val="00C35D96"/>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3C40"/>
    <w:rsid w:val="00C6482B"/>
    <w:rsid w:val="00C64C79"/>
    <w:rsid w:val="00C65408"/>
    <w:rsid w:val="00C67F12"/>
    <w:rsid w:val="00C705DB"/>
    <w:rsid w:val="00C7062B"/>
    <w:rsid w:val="00C71C55"/>
    <w:rsid w:val="00C75EA2"/>
    <w:rsid w:val="00C768E1"/>
    <w:rsid w:val="00C869A4"/>
    <w:rsid w:val="00C87708"/>
    <w:rsid w:val="00C9130D"/>
    <w:rsid w:val="00C91A5C"/>
    <w:rsid w:val="00C9452E"/>
    <w:rsid w:val="00C94F86"/>
    <w:rsid w:val="00C96122"/>
    <w:rsid w:val="00C96B23"/>
    <w:rsid w:val="00C97BC6"/>
    <w:rsid w:val="00CA0331"/>
    <w:rsid w:val="00CA1D1F"/>
    <w:rsid w:val="00CA22FA"/>
    <w:rsid w:val="00CA255B"/>
    <w:rsid w:val="00CA39D4"/>
    <w:rsid w:val="00CA3B8C"/>
    <w:rsid w:val="00CA47E9"/>
    <w:rsid w:val="00CB4591"/>
    <w:rsid w:val="00CB5343"/>
    <w:rsid w:val="00CC273D"/>
    <w:rsid w:val="00CC43C3"/>
    <w:rsid w:val="00CC46DB"/>
    <w:rsid w:val="00CC614C"/>
    <w:rsid w:val="00CC7A2A"/>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5208B"/>
    <w:rsid w:val="00D565BC"/>
    <w:rsid w:val="00D57261"/>
    <w:rsid w:val="00D60A64"/>
    <w:rsid w:val="00D614F8"/>
    <w:rsid w:val="00D6340C"/>
    <w:rsid w:val="00D6597A"/>
    <w:rsid w:val="00D72D5D"/>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4638"/>
    <w:rsid w:val="00DB00C4"/>
    <w:rsid w:val="00DB0738"/>
    <w:rsid w:val="00DB0FCE"/>
    <w:rsid w:val="00DB1B9D"/>
    <w:rsid w:val="00DB1C07"/>
    <w:rsid w:val="00DB27A6"/>
    <w:rsid w:val="00DB4060"/>
    <w:rsid w:val="00DB5346"/>
    <w:rsid w:val="00DB63F8"/>
    <w:rsid w:val="00DB6FBF"/>
    <w:rsid w:val="00DC2474"/>
    <w:rsid w:val="00DC57C9"/>
    <w:rsid w:val="00DC597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69A"/>
    <w:rsid w:val="00E36D76"/>
    <w:rsid w:val="00E37055"/>
    <w:rsid w:val="00E4014E"/>
    <w:rsid w:val="00E449B6"/>
    <w:rsid w:val="00E44DC7"/>
    <w:rsid w:val="00E45AF6"/>
    <w:rsid w:val="00E47991"/>
    <w:rsid w:val="00E47C5B"/>
    <w:rsid w:val="00E5498A"/>
    <w:rsid w:val="00E56637"/>
    <w:rsid w:val="00E57650"/>
    <w:rsid w:val="00E60E2E"/>
    <w:rsid w:val="00E610AE"/>
    <w:rsid w:val="00E61CA3"/>
    <w:rsid w:val="00E62F15"/>
    <w:rsid w:val="00E63407"/>
    <w:rsid w:val="00E66402"/>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D17BA"/>
    <w:rsid w:val="00ED1CF4"/>
    <w:rsid w:val="00ED2533"/>
    <w:rsid w:val="00ED3600"/>
    <w:rsid w:val="00ED407E"/>
    <w:rsid w:val="00ED4271"/>
    <w:rsid w:val="00ED6E6B"/>
    <w:rsid w:val="00EE0068"/>
    <w:rsid w:val="00EE3EE3"/>
    <w:rsid w:val="00EF1953"/>
    <w:rsid w:val="00EF2163"/>
    <w:rsid w:val="00EF3604"/>
    <w:rsid w:val="00F00BF3"/>
    <w:rsid w:val="00F015C9"/>
    <w:rsid w:val="00F044A7"/>
    <w:rsid w:val="00F0457E"/>
    <w:rsid w:val="00F0663F"/>
    <w:rsid w:val="00F071EA"/>
    <w:rsid w:val="00F10B2F"/>
    <w:rsid w:val="00F11ADA"/>
    <w:rsid w:val="00F156A4"/>
    <w:rsid w:val="00F15D4E"/>
    <w:rsid w:val="00F169FC"/>
    <w:rsid w:val="00F16F53"/>
    <w:rsid w:val="00F20361"/>
    <w:rsid w:val="00F22684"/>
    <w:rsid w:val="00F22B08"/>
    <w:rsid w:val="00F25F92"/>
    <w:rsid w:val="00F302E6"/>
    <w:rsid w:val="00F41AF5"/>
    <w:rsid w:val="00F41ED6"/>
    <w:rsid w:val="00F42DF8"/>
    <w:rsid w:val="00F42ED1"/>
    <w:rsid w:val="00F4323A"/>
    <w:rsid w:val="00F4525D"/>
    <w:rsid w:val="00F46E14"/>
    <w:rsid w:val="00F4777D"/>
    <w:rsid w:val="00F526F8"/>
    <w:rsid w:val="00F623E1"/>
    <w:rsid w:val="00F62788"/>
    <w:rsid w:val="00F67A4E"/>
    <w:rsid w:val="00F67EE5"/>
    <w:rsid w:val="00F704F4"/>
    <w:rsid w:val="00F7241D"/>
    <w:rsid w:val="00F7456C"/>
    <w:rsid w:val="00F751EE"/>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7B9"/>
    <w:rsid w:val="00FA0DA7"/>
    <w:rsid w:val="00FA42F0"/>
    <w:rsid w:val="00FA471D"/>
    <w:rsid w:val="00FA6A90"/>
    <w:rsid w:val="00FA737E"/>
    <w:rsid w:val="00FB17A8"/>
    <w:rsid w:val="00FB2976"/>
    <w:rsid w:val="00FB2C43"/>
    <w:rsid w:val="00FB332E"/>
    <w:rsid w:val="00FB4304"/>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b/>
      <w:kern w:val="32"/>
      <w:sz w:val="32"/>
    </w:rPr>
  </w:style>
  <w:style w:type="character" w:customStyle="1" w:styleId="Heading2Char">
    <w:name w:val="Heading 2 Char"/>
    <w:basedOn w:val="DefaultParagraphFont"/>
    <w:link w:val="Heading2"/>
    <w:uiPriority w:val="99"/>
    <w:semiHidden/>
    <w:locked/>
    <w:rsid w:val="0037759A"/>
    <w:rPr>
      <w:rFonts w:ascii="Cambria" w:hAnsi="Cambria"/>
      <w:b/>
      <w:i/>
      <w:sz w:val="28"/>
    </w:rPr>
  </w:style>
  <w:style w:type="character" w:customStyle="1" w:styleId="Heading3Char">
    <w:name w:val="Heading 3 Char"/>
    <w:basedOn w:val="DefaultParagraphFont"/>
    <w:link w:val="Heading3"/>
    <w:uiPriority w:val="99"/>
    <w:semiHidden/>
    <w:locked/>
    <w:rsid w:val="0037759A"/>
    <w:rPr>
      <w:rFonts w:ascii="Cambria" w:hAnsi="Cambria"/>
      <w:b/>
      <w:sz w:val="26"/>
    </w:rPr>
  </w:style>
  <w:style w:type="character" w:customStyle="1" w:styleId="Heading4Char">
    <w:name w:val="Heading 4 Char"/>
    <w:basedOn w:val="DefaultParagraphFont"/>
    <w:link w:val="Heading4"/>
    <w:uiPriority w:val="99"/>
    <w:semiHidden/>
    <w:locked/>
    <w:rsid w:val="0037759A"/>
    <w:rPr>
      <w:rFonts w:ascii="Calibri" w:hAnsi="Calibri"/>
      <w:b/>
      <w:sz w:val="28"/>
    </w:rPr>
  </w:style>
  <w:style w:type="character" w:customStyle="1" w:styleId="Heading5Char">
    <w:name w:val="Heading 5 Char"/>
    <w:basedOn w:val="DefaultParagraphFont"/>
    <w:link w:val="Heading5"/>
    <w:uiPriority w:val="99"/>
    <w:semiHidden/>
    <w:locked/>
    <w:rsid w:val="0037759A"/>
    <w:rPr>
      <w:rFonts w:ascii="Calibri" w:hAnsi="Calibri"/>
      <w:b/>
      <w:i/>
      <w:sz w:val="26"/>
    </w:rPr>
  </w:style>
  <w:style w:type="character" w:customStyle="1" w:styleId="Heading6Char">
    <w:name w:val="Heading 6 Char"/>
    <w:basedOn w:val="DefaultParagraphFont"/>
    <w:link w:val="Heading6"/>
    <w:uiPriority w:val="99"/>
    <w:semiHidden/>
    <w:locked/>
    <w:rsid w:val="0037759A"/>
    <w:rPr>
      <w:rFonts w:ascii="Calibri" w:hAnsi="Calibri"/>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980807">
      <w:marLeft w:val="0"/>
      <w:marRight w:val="0"/>
      <w:marTop w:val="0"/>
      <w:marBottom w:val="0"/>
      <w:divBdr>
        <w:top w:val="none" w:sz="0" w:space="0" w:color="auto"/>
        <w:left w:val="none" w:sz="0" w:space="0" w:color="auto"/>
        <w:bottom w:val="none" w:sz="0" w:space="0" w:color="auto"/>
        <w:right w:val="none" w:sz="0" w:space="0" w:color="auto"/>
      </w:divBdr>
    </w:div>
    <w:div w:id="484980812">
      <w:marLeft w:val="0"/>
      <w:marRight w:val="0"/>
      <w:marTop w:val="0"/>
      <w:marBottom w:val="0"/>
      <w:divBdr>
        <w:top w:val="none" w:sz="0" w:space="0" w:color="auto"/>
        <w:left w:val="none" w:sz="0" w:space="0" w:color="auto"/>
        <w:bottom w:val="none" w:sz="0" w:space="0" w:color="auto"/>
        <w:right w:val="none" w:sz="0" w:space="0" w:color="auto"/>
      </w:divBdr>
    </w:div>
    <w:div w:id="484980813">
      <w:marLeft w:val="0"/>
      <w:marRight w:val="0"/>
      <w:marTop w:val="0"/>
      <w:marBottom w:val="0"/>
      <w:divBdr>
        <w:top w:val="none" w:sz="0" w:space="0" w:color="auto"/>
        <w:left w:val="none" w:sz="0" w:space="0" w:color="auto"/>
        <w:bottom w:val="none" w:sz="0" w:space="0" w:color="auto"/>
        <w:right w:val="none" w:sz="0" w:space="0" w:color="auto"/>
      </w:divBdr>
      <w:divsChild>
        <w:div w:id="484980809">
          <w:marLeft w:val="0"/>
          <w:marRight w:val="0"/>
          <w:marTop w:val="0"/>
          <w:marBottom w:val="0"/>
          <w:divBdr>
            <w:top w:val="none" w:sz="0" w:space="0" w:color="auto"/>
            <w:left w:val="none" w:sz="0" w:space="0" w:color="auto"/>
            <w:bottom w:val="none" w:sz="0" w:space="0" w:color="auto"/>
            <w:right w:val="none" w:sz="0" w:space="0" w:color="auto"/>
          </w:divBdr>
        </w:div>
        <w:div w:id="484980823">
          <w:marLeft w:val="0"/>
          <w:marRight w:val="0"/>
          <w:marTop w:val="0"/>
          <w:marBottom w:val="0"/>
          <w:divBdr>
            <w:top w:val="none" w:sz="0" w:space="0" w:color="auto"/>
            <w:left w:val="none" w:sz="0" w:space="0" w:color="auto"/>
            <w:bottom w:val="none" w:sz="0" w:space="0" w:color="auto"/>
            <w:right w:val="none" w:sz="0" w:space="0" w:color="auto"/>
          </w:divBdr>
        </w:div>
        <w:div w:id="484980825">
          <w:marLeft w:val="0"/>
          <w:marRight w:val="0"/>
          <w:marTop w:val="0"/>
          <w:marBottom w:val="0"/>
          <w:divBdr>
            <w:top w:val="none" w:sz="0" w:space="0" w:color="auto"/>
            <w:left w:val="none" w:sz="0" w:space="0" w:color="auto"/>
            <w:bottom w:val="none" w:sz="0" w:space="0" w:color="auto"/>
            <w:right w:val="none" w:sz="0" w:space="0" w:color="auto"/>
          </w:divBdr>
        </w:div>
        <w:div w:id="484980827">
          <w:marLeft w:val="0"/>
          <w:marRight w:val="0"/>
          <w:marTop w:val="0"/>
          <w:marBottom w:val="0"/>
          <w:divBdr>
            <w:top w:val="none" w:sz="0" w:space="0" w:color="auto"/>
            <w:left w:val="none" w:sz="0" w:space="0" w:color="auto"/>
            <w:bottom w:val="none" w:sz="0" w:space="0" w:color="auto"/>
            <w:right w:val="none" w:sz="0" w:space="0" w:color="auto"/>
          </w:divBdr>
        </w:div>
        <w:div w:id="484980834">
          <w:marLeft w:val="0"/>
          <w:marRight w:val="0"/>
          <w:marTop w:val="0"/>
          <w:marBottom w:val="0"/>
          <w:divBdr>
            <w:top w:val="none" w:sz="0" w:space="0" w:color="auto"/>
            <w:left w:val="none" w:sz="0" w:space="0" w:color="auto"/>
            <w:bottom w:val="none" w:sz="0" w:space="0" w:color="auto"/>
            <w:right w:val="none" w:sz="0" w:space="0" w:color="auto"/>
          </w:divBdr>
        </w:div>
      </w:divsChild>
    </w:div>
    <w:div w:id="484980816">
      <w:marLeft w:val="0"/>
      <w:marRight w:val="0"/>
      <w:marTop w:val="0"/>
      <w:marBottom w:val="0"/>
      <w:divBdr>
        <w:top w:val="none" w:sz="0" w:space="0" w:color="auto"/>
        <w:left w:val="none" w:sz="0" w:space="0" w:color="auto"/>
        <w:bottom w:val="none" w:sz="0" w:space="0" w:color="auto"/>
        <w:right w:val="none" w:sz="0" w:space="0" w:color="auto"/>
      </w:divBdr>
    </w:div>
    <w:div w:id="484980817">
      <w:marLeft w:val="0"/>
      <w:marRight w:val="0"/>
      <w:marTop w:val="0"/>
      <w:marBottom w:val="0"/>
      <w:divBdr>
        <w:top w:val="none" w:sz="0" w:space="0" w:color="auto"/>
        <w:left w:val="none" w:sz="0" w:space="0" w:color="auto"/>
        <w:bottom w:val="none" w:sz="0" w:space="0" w:color="auto"/>
        <w:right w:val="none" w:sz="0" w:space="0" w:color="auto"/>
      </w:divBdr>
    </w:div>
    <w:div w:id="484980820">
      <w:marLeft w:val="0"/>
      <w:marRight w:val="0"/>
      <w:marTop w:val="0"/>
      <w:marBottom w:val="0"/>
      <w:divBdr>
        <w:top w:val="none" w:sz="0" w:space="0" w:color="auto"/>
        <w:left w:val="none" w:sz="0" w:space="0" w:color="auto"/>
        <w:bottom w:val="none" w:sz="0" w:space="0" w:color="auto"/>
        <w:right w:val="none" w:sz="0" w:space="0" w:color="auto"/>
      </w:divBdr>
      <w:divsChild>
        <w:div w:id="484980808">
          <w:marLeft w:val="0"/>
          <w:marRight w:val="0"/>
          <w:marTop w:val="0"/>
          <w:marBottom w:val="0"/>
          <w:divBdr>
            <w:top w:val="none" w:sz="0" w:space="0" w:color="auto"/>
            <w:left w:val="none" w:sz="0" w:space="0" w:color="auto"/>
            <w:bottom w:val="none" w:sz="0" w:space="0" w:color="auto"/>
            <w:right w:val="none" w:sz="0" w:space="0" w:color="auto"/>
          </w:divBdr>
        </w:div>
        <w:div w:id="484980824">
          <w:marLeft w:val="0"/>
          <w:marRight w:val="0"/>
          <w:marTop w:val="0"/>
          <w:marBottom w:val="0"/>
          <w:divBdr>
            <w:top w:val="none" w:sz="0" w:space="0" w:color="auto"/>
            <w:left w:val="none" w:sz="0" w:space="0" w:color="auto"/>
            <w:bottom w:val="none" w:sz="0" w:space="0" w:color="auto"/>
            <w:right w:val="none" w:sz="0" w:space="0" w:color="auto"/>
          </w:divBdr>
        </w:div>
        <w:div w:id="484980829">
          <w:marLeft w:val="0"/>
          <w:marRight w:val="0"/>
          <w:marTop w:val="0"/>
          <w:marBottom w:val="0"/>
          <w:divBdr>
            <w:top w:val="none" w:sz="0" w:space="0" w:color="auto"/>
            <w:left w:val="none" w:sz="0" w:space="0" w:color="auto"/>
            <w:bottom w:val="none" w:sz="0" w:space="0" w:color="auto"/>
            <w:right w:val="none" w:sz="0" w:space="0" w:color="auto"/>
          </w:divBdr>
        </w:div>
      </w:divsChild>
    </w:div>
    <w:div w:id="484980821">
      <w:marLeft w:val="0"/>
      <w:marRight w:val="0"/>
      <w:marTop w:val="0"/>
      <w:marBottom w:val="0"/>
      <w:divBdr>
        <w:top w:val="none" w:sz="0" w:space="0" w:color="auto"/>
        <w:left w:val="none" w:sz="0" w:space="0" w:color="auto"/>
        <w:bottom w:val="none" w:sz="0" w:space="0" w:color="auto"/>
        <w:right w:val="none" w:sz="0" w:space="0" w:color="auto"/>
      </w:divBdr>
    </w:div>
    <w:div w:id="484980828">
      <w:marLeft w:val="0"/>
      <w:marRight w:val="0"/>
      <w:marTop w:val="0"/>
      <w:marBottom w:val="0"/>
      <w:divBdr>
        <w:top w:val="none" w:sz="0" w:space="0" w:color="auto"/>
        <w:left w:val="none" w:sz="0" w:space="0" w:color="auto"/>
        <w:bottom w:val="none" w:sz="0" w:space="0" w:color="auto"/>
        <w:right w:val="none" w:sz="0" w:space="0" w:color="auto"/>
      </w:divBdr>
      <w:divsChild>
        <w:div w:id="484980840">
          <w:marLeft w:val="0"/>
          <w:marRight w:val="0"/>
          <w:marTop w:val="0"/>
          <w:marBottom w:val="0"/>
          <w:divBdr>
            <w:top w:val="none" w:sz="0" w:space="0" w:color="auto"/>
            <w:left w:val="none" w:sz="0" w:space="0" w:color="auto"/>
            <w:bottom w:val="none" w:sz="0" w:space="0" w:color="auto"/>
            <w:right w:val="none" w:sz="0" w:space="0" w:color="auto"/>
          </w:divBdr>
        </w:div>
      </w:divsChild>
    </w:div>
    <w:div w:id="484980831">
      <w:marLeft w:val="0"/>
      <w:marRight w:val="0"/>
      <w:marTop w:val="0"/>
      <w:marBottom w:val="0"/>
      <w:divBdr>
        <w:top w:val="none" w:sz="0" w:space="0" w:color="auto"/>
        <w:left w:val="none" w:sz="0" w:space="0" w:color="auto"/>
        <w:bottom w:val="none" w:sz="0" w:space="0" w:color="auto"/>
        <w:right w:val="none" w:sz="0" w:space="0" w:color="auto"/>
      </w:divBdr>
      <w:divsChild>
        <w:div w:id="484980832">
          <w:marLeft w:val="0"/>
          <w:marRight w:val="0"/>
          <w:marTop w:val="0"/>
          <w:marBottom w:val="0"/>
          <w:divBdr>
            <w:top w:val="none" w:sz="0" w:space="0" w:color="auto"/>
            <w:left w:val="none" w:sz="0" w:space="0" w:color="auto"/>
            <w:bottom w:val="none" w:sz="0" w:space="0" w:color="auto"/>
            <w:right w:val="none" w:sz="0" w:space="0" w:color="auto"/>
          </w:divBdr>
          <w:divsChild>
            <w:div w:id="484980836">
              <w:marLeft w:val="0"/>
              <w:marRight w:val="0"/>
              <w:marTop w:val="0"/>
              <w:marBottom w:val="0"/>
              <w:divBdr>
                <w:top w:val="none" w:sz="0" w:space="0" w:color="auto"/>
                <w:left w:val="none" w:sz="0" w:space="0" w:color="auto"/>
                <w:bottom w:val="none" w:sz="0" w:space="0" w:color="auto"/>
                <w:right w:val="none" w:sz="0" w:space="0" w:color="auto"/>
              </w:divBdr>
              <w:divsChild>
                <w:div w:id="484980810">
                  <w:marLeft w:val="0"/>
                  <w:marRight w:val="0"/>
                  <w:marTop w:val="0"/>
                  <w:marBottom w:val="0"/>
                  <w:divBdr>
                    <w:top w:val="none" w:sz="0" w:space="0" w:color="auto"/>
                    <w:left w:val="none" w:sz="0" w:space="0" w:color="auto"/>
                    <w:bottom w:val="none" w:sz="0" w:space="0" w:color="auto"/>
                    <w:right w:val="none" w:sz="0" w:space="0" w:color="auto"/>
                  </w:divBdr>
                </w:div>
                <w:div w:id="484980815">
                  <w:marLeft w:val="0"/>
                  <w:marRight w:val="0"/>
                  <w:marTop w:val="0"/>
                  <w:marBottom w:val="0"/>
                  <w:divBdr>
                    <w:top w:val="none" w:sz="0" w:space="0" w:color="auto"/>
                    <w:left w:val="none" w:sz="0" w:space="0" w:color="auto"/>
                    <w:bottom w:val="none" w:sz="0" w:space="0" w:color="auto"/>
                    <w:right w:val="none" w:sz="0" w:space="0" w:color="auto"/>
                  </w:divBdr>
                </w:div>
                <w:div w:id="484980838">
                  <w:marLeft w:val="0"/>
                  <w:marRight w:val="0"/>
                  <w:marTop w:val="0"/>
                  <w:marBottom w:val="0"/>
                  <w:divBdr>
                    <w:top w:val="none" w:sz="0" w:space="0" w:color="auto"/>
                    <w:left w:val="none" w:sz="0" w:space="0" w:color="auto"/>
                    <w:bottom w:val="none" w:sz="0" w:space="0" w:color="auto"/>
                    <w:right w:val="none" w:sz="0" w:space="0" w:color="auto"/>
                  </w:divBdr>
                </w:div>
                <w:div w:id="484980841">
                  <w:marLeft w:val="0"/>
                  <w:marRight w:val="0"/>
                  <w:marTop w:val="0"/>
                  <w:marBottom w:val="0"/>
                  <w:divBdr>
                    <w:top w:val="none" w:sz="0" w:space="0" w:color="auto"/>
                    <w:left w:val="none" w:sz="0" w:space="0" w:color="auto"/>
                    <w:bottom w:val="none" w:sz="0" w:space="0" w:color="auto"/>
                    <w:right w:val="none" w:sz="0" w:space="0" w:color="auto"/>
                  </w:divBdr>
                </w:div>
                <w:div w:id="484980844">
                  <w:marLeft w:val="0"/>
                  <w:marRight w:val="0"/>
                  <w:marTop w:val="0"/>
                  <w:marBottom w:val="0"/>
                  <w:divBdr>
                    <w:top w:val="none" w:sz="0" w:space="0" w:color="auto"/>
                    <w:left w:val="none" w:sz="0" w:space="0" w:color="auto"/>
                    <w:bottom w:val="none" w:sz="0" w:space="0" w:color="auto"/>
                    <w:right w:val="none" w:sz="0" w:space="0" w:color="auto"/>
                  </w:divBdr>
                </w:div>
                <w:div w:id="4849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980833">
      <w:marLeft w:val="0"/>
      <w:marRight w:val="0"/>
      <w:marTop w:val="0"/>
      <w:marBottom w:val="0"/>
      <w:divBdr>
        <w:top w:val="none" w:sz="0" w:space="0" w:color="auto"/>
        <w:left w:val="none" w:sz="0" w:space="0" w:color="auto"/>
        <w:bottom w:val="none" w:sz="0" w:space="0" w:color="auto"/>
        <w:right w:val="none" w:sz="0" w:space="0" w:color="auto"/>
      </w:divBdr>
      <w:divsChild>
        <w:div w:id="484980850">
          <w:marLeft w:val="0"/>
          <w:marRight w:val="0"/>
          <w:marTop w:val="0"/>
          <w:marBottom w:val="0"/>
          <w:divBdr>
            <w:top w:val="none" w:sz="0" w:space="0" w:color="auto"/>
            <w:left w:val="none" w:sz="0" w:space="0" w:color="auto"/>
            <w:bottom w:val="none" w:sz="0" w:space="0" w:color="auto"/>
            <w:right w:val="none" w:sz="0" w:space="0" w:color="auto"/>
          </w:divBdr>
        </w:div>
      </w:divsChild>
    </w:div>
    <w:div w:id="484980835">
      <w:marLeft w:val="0"/>
      <w:marRight w:val="0"/>
      <w:marTop w:val="0"/>
      <w:marBottom w:val="0"/>
      <w:divBdr>
        <w:top w:val="none" w:sz="0" w:space="0" w:color="auto"/>
        <w:left w:val="none" w:sz="0" w:space="0" w:color="auto"/>
        <w:bottom w:val="none" w:sz="0" w:space="0" w:color="auto"/>
        <w:right w:val="none" w:sz="0" w:space="0" w:color="auto"/>
      </w:divBdr>
      <w:divsChild>
        <w:div w:id="484980819">
          <w:marLeft w:val="0"/>
          <w:marRight w:val="0"/>
          <w:marTop w:val="0"/>
          <w:marBottom w:val="0"/>
          <w:divBdr>
            <w:top w:val="none" w:sz="0" w:space="0" w:color="auto"/>
            <w:left w:val="none" w:sz="0" w:space="0" w:color="auto"/>
            <w:bottom w:val="none" w:sz="0" w:space="0" w:color="auto"/>
            <w:right w:val="none" w:sz="0" w:space="0" w:color="auto"/>
          </w:divBdr>
        </w:div>
      </w:divsChild>
    </w:div>
    <w:div w:id="484980839">
      <w:marLeft w:val="0"/>
      <w:marRight w:val="0"/>
      <w:marTop w:val="0"/>
      <w:marBottom w:val="0"/>
      <w:divBdr>
        <w:top w:val="none" w:sz="0" w:space="0" w:color="auto"/>
        <w:left w:val="none" w:sz="0" w:space="0" w:color="auto"/>
        <w:bottom w:val="none" w:sz="0" w:space="0" w:color="auto"/>
        <w:right w:val="none" w:sz="0" w:space="0" w:color="auto"/>
      </w:divBdr>
      <w:divsChild>
        <w:div w:id="484980814">
          <w:marLeft w:val="0"/>
          <w:marRight w:val="0"/>
          <w:marTop w:val="0"/>
          <w:marBottom w:val="0"/>
          <w:divBdr>
            <w:top w:val="none" w:sz="0" w:space="0" w:color="auto"/>
            <w:left w:val="none" w:sz="0" w:space="0" w:color="auto"/>
            <w:bottom w:val="none" w:sz="0" w:space="0" w:color="auto"/>
            <w:right w:val="none" w:sz="0" w:space="0" w:color="auto"/>
          </w:divBdr>
        </w:div>
      </w:divsChild>
    </w:div>
    <w:div w:id="484980842">
      <w:marLeft w:val="0"/>
      <w:marRight w:val="0"/>
      <w:marTop w:val="0"/>
      <w:marBottom w:val="0"/>
      <w:divBdr>
        <w:top w:val="none" w:sz="0" w:space="0" w:color="auto"/>
        <w:left w:val="none" w:sz="0" w:space="0" w:color="auto"/>
        <w:bottom w:val="none" w:sz="0" w:space="0" w:color="auto"/>
        <w:right w:val="none" w:sz="0" w:space="0" w:color="auto"/>
      </w:divBdr>
      <w:divsChild>
        <w:div w:id="484980811">
          <w:marLeft w:val="0"/>
          <w:marRight w:val="0"/>
          <w:marTop w:val="0"/>
          <w:marBottom w:val="0"/>
          <w:divBdr>
            <w:top w:val="none" w:sz="0" w:space="0" w:color="auto"/>
            <w:left w:val="none" w:sz="0" w:space="0" w:color="auto"/>
            <w:bottom w:val="none" w:sz="0" w:space="0" w:color="auto"/>
            <w:right w:val="none" w:sz="0" w:space="0" w:color="auto"/>
          </w:divBdr>
        </w:div>
        <w:div w:id="484980822">
          <w:marLeft w:val="0"/>
          <w:marRight w:val="0"/>
          <w:marTop w:val="0"/>
          <w:marBottom w:val="0"/>
          <w:divBdr>
            <w:top w:val="none" w:sz="0" w:space="0" w:color="auto"/>
            <w:left w:val="none" w:sz="0" w:space="0" w:color="auto"/>
            <w:bottom w:val="none" w:sz="0" w:space="0" w:color="auto"/>
            <w:right w:val="none" w:sz="0" w:space="0" w:color="auto"/>
          </w:divBdr>
        </w:div>
        <w:div w:id="484980826">
          <w:marLeft w:val="0"/>
          <w:marRight w:val="0"/>
          <w:marTop w:val="0"/>
          <w:marBottom w:val="0"/>
          <w:divBdr>
            <w:top w:val="none" w:sz="0" w:space="0" w:color="auto"/>
            <w:left w:val="none" w:sz="0" w:space="0" w:color="auto"/>
            <w:bottom w:val="none" w:sz="0" w:space="0" w:color="auto"/>
            <w:right w:val="none" w:sz="0" w:space="0" w:color="auto"/>
          </w:divBdr>
        </w:div>
        <w:div w:id="484980830">
          <w:marLeft w:val="0"/>
          <w:marRight w:val="0"/>
          <w:marTop w:val="0"/>
          <w:marBottom w:val="0"/>
          <w:divBdr>
            <w:top w:val="none" w:sz="0" w:space="0" w:color="auto"/>
            <w:left w:val="none" w:sz="0" w:space="0" w:color="auto"/>
            <w:bottom w:val="none" w:sz="0" w:space="0" w:color="auto"/>
            <w:right w:val="none" w:sz="0" w:space="0" w:color="auto"/>
          </w:divBdr>
        </w:div>
        <w:div w:id="484980843">
          <w:marLeft w:val="0"/>
          <w:marRight w:val="0"/>
          <w:marTop w:val="0"/>
          <w:marBottom w:val="0"/>
          <w:divBdr>
            <w:top w:val="none" w:sz="0" w:space="0" w:color="auto"/>
            <w:left w:val="none" w:sz="0" w:space="0" w:color="auto"/>
            <w:bottom w:val="none" w:sz="0" w:space="0" w:color="auto"/>
            <w:right w:val="none" w:sz="0" w:space="0" w:color="auto"/>
          </w:divBdr>
        </w:div>
        <w:div w:id="484980846">
          <w:marLeft w:val="0"/>
          <w:marRight w:val="0"/>
          <w:marTop w:val="0"/>
          <w:marBottom w:val="0"/>
          <w:divBdr>
            <w:top w:val="none" w:sz="0" w:space="0" w:color="auto"/>
            <w:left w:val="none" w:sz="0" w:space="0" w:color="auto"/>
            <w:bottom w:val="none" w:sz="0" w:space="0" w:color="auto"/>
            <w:right w:val="none" w:sz="0" w:space="0" w:color="auto"/>
          </w:divBdr>
        </w:div>
        <w:div w:id="484980847">
          <w:marLeft w:val="0"/>
          <w:marRight w:val="0"/>
          <w:marTop w:val="0"/>
          <w:marBottom w:val="0"/>
          <w:divBdr>
            <w:top w:val="none" w:sz="0" w:space="0" w:color="auto"/>
            <w:left w:val="none" w:sz="0" w:space="0" w:color="auto"/>
            <w:bottom w:val="none" w:sz="0" w:space="0" w:color="auto"/>
            <w:right w:val="none" w:sz="0" w:space="0" w:color="auto"/>
          </w:divBdr>
        </w:div>
      </w:divsChild>
    </w:div>
    <w:div w:id="484980845">
      <w:marLeft w:val="0"/>
      <w:marRight w:val="0"/>
      <w:marTop w:val="0"/>
      <w:marBottom w:val="0"/>
      <w:divBdr>
        <w:top w:val="none" w:sz="0" w:space="0" w:color="auto"/>
        <w:left w:val="none" w:sz="0" w:space="0" w:color="auto"/>
        <w:bottom w:val="none" w:sz="0" w:space="0" w:color="auto"/>
        <w:right w:val="none" w:sz="0" w:space="0" w:color="auto"/>
      </w:divBdr>
      <w:divsChild>
        <w:div w:id="484980837">
          <w:marLeft w:val="0"/>
          <w:marRight w:val="0"/>
          <w:marTop w:val="0"/>
          <w:marBottom w:val="0"/>
          <w:divBdr>
            <w:top w:val="none" w:sz="0" w:space="0" w:color="auto"/>
            <w:left w:val="none" w:sz="0" w:space="0" w:color="auto"/>
            <w:bottom w:val="none" w:sz="0" w:space="0" w:color="auto"/>
            <w:right w:val="none" w:sz="0" w:space="0" w:color="auto"/>
          </w:divBdr>
        </w:div>
      </w:divsChild>
    </w:div>
    <w:div w:id="484980849">
      <w:marLeft w:val="0"/>
      <w:marRight w:val="0"/>
      <w:marTop w:val="0"/>
      <w:marBottom w:val="0"/>
      <w:divBdr>
        <w:top w:val="none" w:sz="0" w:space="0" w:color="auto"/>
        <w:left w:val="none" w:sz="0" w:space="0" w:color="auto"/>
        <w:bottom w:val="none" w:sz="0" w:space="0" w:color="auto"/>
        <w:right w:val="none" w:sz="0" w:space="0" w:color="auto"/>
      </w:divBdr>
      <w:divsChild>
        <w:div w:id="484980818">
          <w:marLeft w:val="0"/>
          <w:marRight w:val="0"/>
          <w:marTop w:val="0"/>
          <w:marBottom w:val="0"/>
          <w:divBdr>
            <w:top w:val="none" w:sz="0" w:space="0" w:color="auto"/>
            <w:left w:val="none" w:sz="0" w:space="0" w:color="auto"/>
            <w:bottom w:val="none" w:sz="0" w:space="0" w:color="auto"/>
            <w:right w:val="none" w:sz="0" w:space="0" w:color="auto"/>
          </w:divBdr>
        </w:div>
      </w:divsChild>
    </w:div>
    <w:div w:id="484980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2/r05004.doc" TargetMode="External"/><Relationship Id="rId18" Type="http://schemas.openxmlformats.org/officeDocument/2006/relationships/hyperlink" Target="http://www.naesb.org/pdf2/weq_srs112006a1.d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aesb.org/../pdf4/r09003.doc" TargetMode="External"/><Relationship Id="rId7" Type="http://schemas.openxmlformats.org/officeDocument/2006/relationships/footnotes" Target="foot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2/r05026.do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aesb.org/pdf2/r06027.doc" TargetMode="External"/><Relationship Id="rId20" Type="http://schemas.openxmlformats.org/officeDocument/2006/relationships/hyperlink" Target="http://www.naesb.org/../pdf4/r08027.doc"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doc_view4.asp?doc=ferc041107.pdf" TargetMode="External"/><Relationship Id="rId24" Type="http://schemas.openxmlformats.org/officeDocument/2006/relationships/hyperlink" Target="http://www.naesb.org/doc_view2.asp?doc=ferc122807.pdf" TargetMode="External"/><Relationship Id="rId5" Type="http://schemas.openxmlformats.org/officeDocument/2006/relationships/settings" Target="settings.xml"/><Relationship Id="rId15" Type="http://schemas.openxmlformats.org/officeDocument/2006/relationships/hyperlink" Target="http://www.naesb.org/pdf/r04037.doc" TargetMode="External"/><Relationship Id="rId23" Type="http://schemas.openxmlformats.org/officeDocument/2006/relationships/hyperlink" Target="http://www.naesb.org/pdf4/ferc112409_order_676E.doc" TargetMode="External"/><Relationship Id="rId28" Type="http://schemas.openxmlformats.org/officeDocument/2006/relationships/footer" Target="footer2.xml"/><Relationship Id="rId10" Type="http://schemas.openxmlformats.org/officeDocument/2006/relationships/hyperlink" Target="http://www.nerc.com/filez/standards/Project2010-17_BES.html" TargetMode="External"/><Relationship Id="rId19" Type="http://schemas.openxmlformats.org/officeDocument/2006/relationships/hyperlink" Target="http://www.naesb.org/pdf3/r08011.doc"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erc.com/filez/standards/Project2010-08_FM_Glossary_Revisions.html" TargetMode="External"/><Relationship Id="rId14" Type="http://schemas.openxmlformats.org/officeDocument/2006/relationships/hyperlink" Target="http://www.naesb.org/pdf2/r04006E.doc" TargetMode="External"/><Relationship Id="rId22" Type="http://schemas.openxmlformats.org/officeDocument/2006/relationships/hyperlink" Target="http://www.naesb.org/pdf4/r09015.doc" TargetMode="External"/><Relationship Id="rId27" Type="http://schemas.openxmlformats.org/officeDocument/2006/relationships/header" Target="header2.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7059F-69F2-4972-B5AF-87C5D324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19426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Rae McQuade</cp:lastModifiedBy>
  <cp:revision>2</cp:revision>
  <cp:lastPrinted>2010-09-28T16:06:00Z</cp:lastPrinted>
  <dcterms:created xsi:type="dcterms:W3CDTF">2011-09-26T18:32:00Z</dcterms:created>
  <dcterms:modified xsi:type="dcterms:W3CDTF">2011-09-26T18:32:00Z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